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A9DFA" w14:textId="6C290107" w:rsidR="000E0D1A" w:rsidRPr="00B90668" w:rsidRDefault="00FB74C4" w:rsidP="0097045C">
      <w:pPr>
        <w:ind w:left="3600"/>
        <w:rPr>
          <w:rFonts w:ascii="Tahoma" w:hAnsi="Tahoma" w:cs="Tahoma"/>
          <w:szCs w:val="28"/>
        </w:rPr>
      </w:pPr>
      <w:r w:rsidRPr="00B90668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740BEBE" wp14:editId="7E951353">
            <wp:simplePos x="0" y="0"/>
            <wp:positionH relativeFrom="column">
              <wp:posOffset>965835</wp:posOffset>
            </wp:positionH>
            <wp:positionV relativeFrom="paragraph">
              <wp:posOffset>40640</wp:posOffset>
            </wp:positionV>
            <wp:extent cx="1028700" cy="6858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D1A" w:rsidRPr="00B90668">
        <w:rPr>
          <w:rFonts w:ascii="Tahoma" w:hAnsi="Tahoma" w:cs="Tahoma"/>
          <w:szCs w:val="28"/>
        </w:rPr>
        <w:t>Peter M. Schwartz</w:t>
      </w:r>
    </w:p>
    <w:p w14:paraId="0DAA5CB5" w14:textId="77777777" w:rsidR="00106E05" w:rsidRPr="004F6089" w:rsidRDefault="00106E05" w:rsidP="0097045C">
      <w:pPr>
        <w:pStyle w:val="Subtitle"/>
        <w:spacing w:after="0"/>
        <w:ind w:left="3600"/>
        <w:jc w:val="left"/>
        <w:rPr>
          <w:rFonts w:ascii="Tahoma" w:hAnsi="Tahoma" w:cs="Tahoma"/>
          <w:noProof/>
          <w:sz w:val="18"/>
        </w:rPr>
      </w:pPr>
      <w:r w:rsidRPr="004F6089">
        <w:rPr>
          <w:rFonts w:ascii="Tahoma" w:hAnsi="Tahoma" w:cs="Tahoma"/>
          <w:sz w:val="16"/>
          <w:szCs w:val="22"/>
        </w:rPr>
        <w:t>Lawrence Berkeley National Laboratory</w:t>
      </w:r>
      <w:r w:rsidRPr="004F6089">
        <w:rPr>
          <w:rFonts w:ascii="Tahoma" w:hAnsi="Tahoma" w:cs="Tahoma"/>
          <w:noProof/>
          <w:sz w:val="18"/>
        </w:rPr>
        <w:t xml:space="preserve"> </w:t>
      </w:r>
    </w:p>
    <w:p w14:paraId="3C0B5D7B" w14:textId="474639ED" w:rsidR="000E0D1A" w:rsidRPr="004F6089" w:rsidRDefault="00106E05" w:rsidP="0097045C">
      <w:pPr>
        <w:pStyle w:val="Subtitle"/>
        <w:spacing w:after="0"/>
        <w:ind w:left="3600"/>
        <w:jc w:val="left"/>
        <w:rPr>
          <w:rFonts w:ascii="Tahoma" w:hAnsi="Tahoma" w:cs="Tahoma"/>
          <w:sz w:val="16"/>
          <w:szCs w:val="22"/>
        </w:rPr>
      </w:pPr>
      <w:r w:rsidRPr="004F6089">
        <w:rPr>
          <w:rFonts w:ascii="Tahoma" w:hAnsi="Tahoma" w:cs="Tahoma"/>
          <w:sz w:val="16"/>
          <w:szCs w:val="22"/>
        </w:rPr>
        <w:t>1 Cyclotron Road, M/S 90R2000</w:t>
      </w:r>
    </w:p>
    <w:p w14:paraId="1B0E1379" w14:textId="091D3862" w:rsidR="000E0D1A" w:rsidRPr="004F6089" w:rsidRDefault="00106E05" w:rsidP="0097045C">
      <w:pPr>
        <w:pStyle w:val="Subtitle"/>
        <w:spacing w:after="0"/>
        <w:ind w:left="3600"/>
        <w:jc w:val="left"/>
        <w:rPr>
          <w:rFonts w:ascii="Tahoma" w:hAnsi="Tahoma" w:cs="Tahoma"/>
          <w:sz w:val="16"/>
          <w:szCs w:val="22"/>
        </w:rPr>
      </w:pPr>
      <w:r w:rsidRPr="004F6089">
        <w:rPr>
          <w:rFonts w:ascii="Tahoma" w:hAnsi="Tahoma" w:cs="Tahoma"/>
          <w:sz w:val="16"/>
          <w:szCs w:val="22"/>
        </w:rPr>
        <w:t>Berkeley, CA 94720</w:t>
      </w:r>
    </w:p>
    <w:p w14:paraId="060DCFFE" w14:textId="3348ACDC" w:rsidR="000E0D1A" w:rsidRPr="004F6089" w:rsidRDefault="00106E05" w:rsidP="0097045C">
      <w:pPr>
        <w:pStyle w:val="Subtitle"/>
        <w:spacing w:after="0"/>
        <w:ind w:left="3600"/>
        <w:jc w:val="left"/>
        <w:rPr>
          <w:rFonts w:ascii="Tahoma" w:hAnsi="Tahoma" w:cs="Tahoma"/>
          <w:sz w:val="16"/>
          <w:szCs w:val="22"/>
        </w:rPr>
      </w:pPr>
      <w:r w:rsidRPr="004F6089">
        <w:rPr>
          <w:rFonts w:ascii="Tahoma" w:hAnsi="Tahoma" w:cs="Tahoma"/>
          <w:sz w:val="16"/>
          <w:szCs w:val="22"/>
        </w:rPr>
        <w:t>(</w:t>
      </w:r>
      <w:r w:rsidR="000E0D1A" w:rsidRPr="004F6089">
        <w:rPr>
          <w:rFonts w:ascii="Tahoma" w:hAnsi="Tahoma" w:cs="Tahoma"/>
          <w:sz w:val="16"/>
          <w:szCs w:val="22"/>
        </w:rPr>
        <w:t>5</w:t>
      </w:r>
      <w:r w:rsidRPr="004F6089">
        <w:rPr>
          <w:rFonts w:ascii="Tahoma" w:hAnsi="Tahoma" w:cs="Tahoma"/>
          <w:sz w:val="16"/>
          <w:szCs w:val="22"/>
        </w:rPr>
        <w:t xml:space="preserve">10) </w:t>
      </w:r>
      <w:r w:rsidR="00995E43" w:rsidRPr="004F6089">
        <w:rPr>
          <w:rFonts w:ascii="Tahoma" w:hAnsi="Tahoma" w:cs="Tahoma"/>
          <w:sz w:val="16"/>
          <w:szCs w:val="22"/>
        </w:rPr>
        <w:t>486</w:t>
      </w:r>
      <w:r w:rsidRPr="004F6089">
        <w:rPr>
          <w:rFonts w:ascii="Tahoma" w:hAnsi="Tahoma" w:cs="Tahoma"/>
          <w:sz w:val="16"/>
          <w:szCs w:val="22"/>
        </w:rPr>
        <w:t>-6926</w:t>
      </w:r>
    </w:p>
    <w:p w14:paraId="5AF0FE3E" w14:textId="5D58DB61" w:rsidR="000E0D1A" w:rsidRPr="004F6089" w:rsidRDefault="000E0D1A" w:rsidP="0097045C">
      <w:pPr>
        <w:pStyle w:val="Subtitle"/>
        <w:spacing w:after="0"/>
        <w:ind w:left="3600"/>
        <w:jc w:val="left"/>
        <w:rPr>
          <w:rFonts w:ascii="Tahoma" w:hAnsi="Tahoma" w:cs="Tahoma"/>
          <w:sz w:val="16"/>
          <w:szCs w:val="22"/>
        </w:rPr>
      </w:pPr>
      <w:r w:rsidRPr="004F6089">
        <w:rPr>
          <w:rFonts w:ascii="Tahoma" w:hAnsi="Tahoma" w:cs="Tahoma"/>
          <w:sz w:val="16"/>
          <w:szCs w:val="22"/>
        </w:rPr>
        <w:t>pmschwartz</w:t>
      </w:r>
      <w:r w:rsidR="00106E05" w:rsidRPr="004F6089">
        <w:rPr>
          <w:rFonts w:ascii="Tahoma" w:hAnsi="Tahoma" w:cs="Tahoma"/>
          <w:sz w:val="16"/>
          <w:szCs w:val="22"/>
        </w:rPr>
        <w:t>@lbl.gov</w:t>
      </w:r>
    </w:p>
    <w:p w14:paraId="3B8C03E0" w14:textId="77777777" w:rsidR="0067084D" w:rsidRPr="00B90668" w:rsidRDefault="0067084D" w:rsidP="008727D8">
      <w:pPr>
        <w:pStyle w:val="Heading1"/>
        <w:pBdr>
          <w:bottom w:val="single" w:sz="24" w:space="1" w:color="17365D"/>
        </w:pBdr>
        <w:tabs>
          <w:tab w:val="left" w:pos="5347"/>
        </w:tabs>
        <w:spacing w:before="120"/>
        <w:rPr>
          <w:rFonts w:ascii="Tahoma" w:hAnsi="Tahoma" w:cs="Tahoma"/>
          <w:sz w:val="24"/>
          <w:szCs w:val="26"/>
        </w:rPr>
      </w:pPr>
      <w:bookmarkStart w:id="0" w:name="_Toc116974476"/>
      <w:r w:rsidRPr="00B90668">
        <w:rPr>
          <w:rFonts w:ascii="Tahoma" w:hAnsi="Tahoma" w:cs="Tahoma"/>
          <w:sz w:val="24"/>
          <w:szCs w:val="26"/>
        </w:rPr>
        <w:t>Experience Highlights</w:t>
      </w:r>
      <w:bookmarkEnd w:id="0"/>
    </w:p>
    <w:p w14:paraId="72DDC658" w14:textId="38A86C13" w:rsidR="00C2145A" w:rsidRDefault="00C2145A" w:rsidP="00062953">
      <w:pPr>
        <w:keepNext/>
        <w:keepLines/>
        <w:spacing w:after="60"/>
        <w:ind w:left="540" w:right="-360" w:hanging="450"/>
        <w:rPr>
          <w:sz w:val="22"/>
          <w:szCs w:val="22"/>
        </w:rPr>
      </w:pPr>
      <w:r>
        <w:rPr>
          <w:b/>
          <w:sz w:val="22"/>
          <w:szCs w:val="22"/>
        </w:rPr>
        <w:t>Lawrence Berkeley National Laboratory</w:t>
      </w:r>
      <w:r w:rsidRPr="008A3341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Berkeley</w:t>
      </w:r>
      <w:r w:rsidRPr="008A3341">
        <w:rPr>
          <w:sz w:val="22"/>
          <w:szCs w:val="22"/>
        </w:rPr>
        <w:t xml:space="preserve">, CA, </w:t>
      </w:r>
      <w:r w:rsidR="00062953">
        <w:rPr>
          <w:sz w:val="22"/>
          <w:szCs w:val="22"/>
        </w:rPr>
        <w:t>Principal Investigator—P</w:t>
      </w:r>
      <w:r w:rsidR="000830A4">
        <w:rPr>
          <w:sz w:val="22"/>
          <w:szCs w:val="22"/>
        </w:rPr>
        <w:t xml:space="preserve">rogram Manager 4, </w:t>
      </w:r>
      <w:r w:rsidR="00B90668">
        <w:rPr>
          <w:sz w:val="22"/>
          <w:szCs w:val="22"/>
        </w:rPr>
        <w:t xml:space="preserve">Energy Technologies Area, </w:t>
      </w:r>
      <w:r w:rsidR="001A0606" w:rsidRPr="001A0606">
        <w:rPr>
          <w:sz w:val="22"/>
          <w:szCs w:val="22"/>
        </w:rPr>
        <w:t>Building Technology and Urban System</w:t>
      </w:r>
      <w:r w:rsidR="00DF3D28">
        <w:rPr>
          <w:sz w:val="22"/>
          <w:szCs w:val="22"/>
        </w:rPr>
        <w:t>s</w:t>
      </w:r>
      <w:r w:rsidR="001A0606" w:rsidRPr="001A0606">
        <w:rPr>
          <w:sz w:val="22"/>
          <w:szCs w:val="22"/>
        </w:rPr>
        <w:t xml:space="preserve"> </w:t>
      </w:r>
      <w:r w:rsidR="000830A4">
        <w:rPr>
          <w:sz w:val="22"/>
          <w:szCs w:val="22"/>
        </w:rPr>
        <w:t>Division</w:t>
      </w:r>
      <w:r w:rsidR="00681494">
        <w:rPr>
          <w:sz w:val="22"/>
          <w:szCs w:val="22"/>
        </w:rPr>
        <w:t xml:space="preserve">, </w:t>
      </w:r>
      <w:r w:rsidR="00B90668" w:rsidRPr="00B90668">
        <w:rPr>
          <w:sz w:val="22"/>
          <w:szCs w:val="22"/>
        </w:rPr>
        <w:t>Electronic, Lighting and Network Group,</w:t>
      </w:r>
      <w:r w:rsidR="00B90668">
        <w:rPr>
          <w:sz w:val="22"/>
          <w:szCs w:val="22"/>
        </w:rPr>
        <w:t xml:space="preserve"> </w:t>
      </w:r>
      <w:r w:rsidR="00B24708">
        <w:rPr>
          <w:sz w:val="22"/>
          <w:szCs w:val="22"/>
        </w:rPr>
        <w:t>2014</w:t>
      </w:r>
      <w:r w:rsidRPr="008A3341">
        <w:rPr>
          <w:sz w:val="22"/>
          <w:szCs w:val="22"/>
        </w:rPr>
        <w:t>-Present</w:t>
      </w:r>
    </w:p>
    <w:p w14:paraId="74AFA7BC" w14:textId="16A4B26E" w:rsidR="00B90668" w:rsidRPr="008A3341" w:rsidRDefault="00B90668" w:rsidP="00B90668">
      <w:pPr>
        <w:keepNext/>
        <w:keepLines/>
        <w:spacing w:after="60"/>
        <w:ind w:left="540" w:right="-360"/>
        <w:rPr>
          <w:sz w:val="22"/>
          <w:szCs w:val="22"/>
        </w:rPr>
      </w:pPr>
      <w:r>
        <w:rPr>
          <w:sz w:val="22"/>
          <w:szCs w:val="22"/>
        </w:rPr>
        <w:t>Direct and</w:t>
      </w:r>
      <w:r w:rsidRPr="009A77E5">
        <w:rPr>
          <w:sz w:val="22"/>
          <w:szCs w:val="22"/>
        </w:rPr>
        <w:t xml:space="preserve"> manage RD&amp;D teams to develop and to deliver new technology and innovative </w:t>
      </w:r>
      <w:r>
        <w:rPr>
          <w:sz w:val="22"/>
          <w:szCs w:val="22"/>
        </w:rPr>
        <w:t>demand-responsive</w:t>
      </w:r>
      <w:r w:rsidRPr="009A77E5">
        <w:rPr>
          <w:sz w:val="22"/>
          <w:szCs w:val="22"/>
        </w:rPr>
        <w:t xml:space="preserve"> </w:t>
      </w:r>
      <w:r>
        <w:rPr>
          <w:sz w:val="22"/>
          <w:szCs w:val="22"/>
        </w:rPr>
        <w:t>lighting and intelligent network controls s</w:t>
      </w:r>
      <w:r w:rsidRPr="00301BAD">
        <w:rPr>
          <w:sz w:val="22"/>
          <w:szCs w:val="22"/>
        </w:rPr>
        <w:t>ystem</w:t>
      </w:r>
      <w:r w:rsidR="008727D8" w:rsidRPr="008727D8">
        <w:rPr>
          <w:sz w:val="22"/>
          <w:szCs w:val="22"/>
        </w:rPr>
        <w:t xml:space="preserve"> </w:t>
      </w:r>
      <w:r w:rsidR="008727D8" w:rsidRPr="009A77E5">
        <w:rPr>
          <w:sz w:val="22"/>
          <w:szCs w:val="22"/>
        </w:rPr>
        <w:t>solutions</w:t>
      </w:r>
      <w:r>
        <w:rPr>
          <w:sz w:val="22"/>
          <w:szCs w:val="22"/>
        </w:rPr>
        <w:t xml:space="preserve">. Lead </w:t>
      </w:r>
      <w:r w:rsidRPr="009A77E5">
        <w:rPr>
          <w:sz w:val="22"/>
          <w:szCs w:val="22"/>
        </w:rPr>
        <w:t xml:space="preserve">technical </w:t>
      </w:r>
      <w:r>
        <w:rPr>
          <w:sz w:val="22"/>
          <w:szCs w:val="22"/>
        </w:rPr>
        <w:t>teams</w:t>
      </w:r>
      <w:r w:rsidRPr="009A77E5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U.S. DOE’ Grid Modernization Lab Consortium project, CPUC’s 2025 CA DR Potential Study, </w:t>
      </w:r>
      <w:r w:rsidRPr="009A77E5">
        <w:rPr>
          <w:sz w:val="22"/>
          <w:szCs w:val="22"/>
        </w:rPr>
        <w:t>SCE’s Preferred Resources Pilot</w:t>
      </w:r>
      <w:r>
        <w:rPr>
          <w:sz w:val="22"/>
          <w:szCs w:val="22"/>
        </w:rPr>
        <w:t xml:space="preserve">, $1.9M CEC EPIC, </w:t>
      </w:r>
      <w:r w:rsidR="008727D8">
        <w:rPr>
          <w:sz w:val="22"/>
          <w:szCs w:val="22"/>
        </w:rPr>
        <w:t>GSA Green Proving Ground (GPG)</w:t>
      </w:r>
      <w:r>
        <w:rPr>
          <w:sz w:val="22"/>
          <w:szCs w:val="22"/>
        </w:rPr>
        <w:t xml:space="preserve"> advanced lighting and integrated controls projects</w:t>
      </w:r>
      <w:r w:rsidRPr="009A77E5">
        <w:rPr>
          <w:sz w:val="22"/>
          <w:szCs w:val="22"/>
        </w:rPr>
        <w:t>.</w:t>
      </w:r>
    </w:p>
    <w:p w14:paraId="057D7E06" w14:textId="476192E7" w:rsidR="00351E00" w:rsidRPr="008A3341" w:rsidRDefault="00351E00" w:rsidP="00062953">
      <w:pPr>
        <w:keepNext/>
        <w:keepLines/>
        <w:spacing w:after="60"/>
        <w:ind w:left="540" w:right="-360" w:hanging="450"/>
        <w:rPr>
          <w:sz w:val="22"/>
          <w:szCs w:val="22"/>
        </w:rPr>
      </w:pPr>
      <w:r w:rsidRPr="008A3341">
        <w:rPr>
          <w:b/>
          <w:sz w:val="22"/>
          <w:szCs w:val="22"/>
        </w:rPr>
        <w:t xml:space="preserve">DNV GL-Energy, Sustainable Energy Use, </w:t>
      </w:r>
      <w:r w:rsidRPr="008A3341">
        <w:rPr>
          <w:sz w:val="22"/>
          <w:szCs w:val="22"/>
        </w:rPr>
        <w:t>Oakland, CA, Head of Department, Program Technical Services, 2013-</w:t>
      </w:r>
      <w:r w:rsidR="00B24708">
        <w:rPr>
          <w:sz w:val="22"/>
          <w:szCs w:val="22"/>
        </w:rPr>
        <w:t>2014</w:t>
      </w:r>
    </w:p>
    <w:p w14:paraId="3A5850E5" w14:textId="77777777" w:rsidR="00633733" w:rsidRPr="008A3341" w:rsidRDefault="00633733" w:rsidP="00062953">
      <w:pPr>
        <w:keepNext/>
        <w:keepLines/>
        <w:spacing w:after="60"/>
        <w:ind w:left="540" w:right="-360" w:hanging="450"/>
        <w:rPr>
          <w:sz w:val="22"/>
          <w:szCs w:val="22"/>
        </w:rPr>
      </w:pPr>
      <w:r w:rsidRPr="008A3341">
        <w:rPr>
          <w:b/>
          <w:sz w:val="22"/>
          <w:szCs w:val="22"/>
        </w:rPr>
        <w:t xml:space="preserve">DNV </w:t>
      </w:r>
      <w:r w:rsidR="00351E00" w:rsidRPr="008A3341">
        <w:rPr>
          <w:b/>
          <w:sz w:val="22"/>
          <w:szCs w:val="22"/>
        </w:rPr>
        <w:t>KEMA</w:t>
      </w:r>
      <w:r w:rsidRPr="008A3341">
        <w:rPr>
          <w:b/>
          <w:sz w:val="22"/>
          <w:szCs w:val="22"/>
        </w:rPr>
        <w:t xml:space="preserve">, </w:t>
      </w:r>
      <w:r w:rsidR="009E6D2A" w:rsidRPr="008A3341">
        <w:rPr>
          <w:b/>
          <w:sz w:val="22"/>
          <w:szCs w:val="22"/>
        </w:rPr>
        <w:t xml:space="preserve">KEMA Services, Inc., </w:t>
      </w:r>
      <w:r w:rsidRPr="008A3341">
        <w:rPr>
          <w:sz w:val="22"/>
          <w:szCs w:val="22"/>
        </w:rPr>
        <w:t>Oakland, CA, Senior Principal, Technology &amp; Analytics, 2012-</w:t>
      </w:r>
      <w:r w:rsidR="00351E00" w:rsidRPr="008A3341">
        <w:rPr>
          <w:sz w:val="22"/>
          <w:szCs w:val="22"/>
        </w:rPr>
        <w:t>2013</w:t>
      </w:r>
    </w:p>
    <w:p w14:paraId="69243B2E" w14:textId="77777777" w:rsidR="0067084D" w:rsidRPr="008A3341" w:rsidRDefault="0067084D" w:rsidP="00062953">
      <w:pPr>
        <w:keepNext/>
        <w:keepLines/>
        <w:spacing w:after="60"/>
        <w:ind w:left="540" w:right="-360" w:hanging="450"/>
        <w:rPr>
          <w:sz w:val="22"/>
          <w:szCs w:val="22"/>
        </w:rPr>
      </w:pPr>
      <w:r w:rsidRPr="008A3341">
        <w:rPr>
          <w:b/>
          <w:sz w:val="22"/>
          <w:szCs w:val="22"/>
        </w:rPr>
        <w:t>Peter Schwartz &amp; Associates</w:t>
      </w:r>
      <w:r w:rsidRPr="008A3341">
        <w:rPr>
          <w:sz w:val="22"/>
          <w:szCs w:val="22"/>
        </w:rPr>
        <w:t xml:space="preserve">, </w:t>
      </w:r>
      <w:r w:rsidRPr="008A3341">
        <w:rPr>
          <w:b/>
          <w:sz w:val="22"/>
          <w:szCs w:val="22"/>
        </w:rPr>
        <w:t>LLC</w:t>
      </w:r>
      <w:r w:rsidRPr="008A3341">
        <w:rPr>
          <w:sz w:val="22"/>
          <w:szCs w:val="22"/>
        </w:rPr>
        <w:t xml:space="preserve">, Corte Madera, CA, </w:t>
      </w:r>
      <w:r w:rsidRPr="008A3341">
        <w:rPr>
          <w:iCs/>
          <w:sz w:val="22"/>
          <w:szCs w:val="22"/>
        </w:rPr>
        <w:t>President</w:t>
      </w:r>
      <w:r w:rsidRPr="008A3341">
        <w:rPr>
          <w:sz w:val="22"/>
          <w:szCs w:val="22"/>
        </w:rPr>
        <w:t>, 1997-</w:t>
      </w:r>
      <w:r w:rsidR="00633733" w:rsidRPr="008A3341">
        <w:rPr>
          <w:sz w:val="22"/>
          <w:szCs w:val="22"/>
        </w:rPr>
        <w:t>2012</w:t>
      </w:r>
    </w:p>
    <w:p w14:paraId="2DFF3352" w14:textId="3D2E6C23" w:rsidR="0067084D" w:rsidRPr="008A3341" w:rsidRDefault="00B044DA" w:rsidP="00062953">
      <w:pPr>
        <w:keepNext/>
        <w:keepLines/>
        <w:spacing w:after="60"/>
        <w:ind w:left="540" w:right="-360" w:hanging="450"/>
        <w:rPr>
          <w:sz w:val="22"/>
          <w:szCs w:val="22"/>
        </w:rPr>
      </w:pPr>
      <w:r w:rsidRPr="008A3341">
        <w:rPr>
          <w:b/>
          <w:sz w:val="22"/>
          <w:szCs w:val="22"/>
        </w:rPr>
        <w:t>Forecast Energy</w:t>
      </w:r>
      <w:r w:rsidR="0067084D" w:rsidRPr="008A3341">
        <w:rPr>
          <w:b/>
          <w:sz w:val="22"/>
          <w:szCs w:val="22"/>
        </w:rPr>
        <w:t xml:space="preserve">, </w:t>
      </w:r>
      <w:r w:rsidR="0067084D" w:rsidRPr="008A3341">
        <w:rPr>
          <w:sz w:val="22"/>
          <w:szCs w:val="22"/>
        </w:rPr>
        <w:t>Mill Valley, CA, Senior Executive VP, Energy Infrastructure, 2011-2012</w:t>
      </w:r>
    </w:p>
    <w:p w14:paraId="3260A1F0" w14:textId="77777777" w:rsidR="0067084D" w:rsidRPr="008A3341" w:rsidRDefault="0067084D" w:rsidP="00062953">
      <w:pPr>
        <w:spacing w:after="60"/>
        <w:ind w:left="540" w:right="-360" w:hanging="450"/>
        <w:rPr>
          <w:sz w:val="22"/>
          <w:szCs w:val="22"/>
        </w:rPr>
      </w:pPr>
      <w:r w:rsidRPr="008A3341">
        <w:rPr>
          <w:b/>
          <w:sz w:val="22"/>
          <w:szCs w:val="22"/>
        </w:rPr>
        <w:t xml:space="preserve">LUMEnergi, Inc., </w:t>
      </w:r>
      <w:r w:rsidRPr="008A3341">
        <w:rPr>
          <w:sz w:val="22"/>
          <w:szCs w:val="22"/>
        </w:rPr>
        <w:t>Newark, CA, VP Business Development, 2010-2011</w:t>
      </w:r>
    </w:p>
    <w:p w14:paraId="4031432A" w14:textId="5153A149" w:rsidR="0067084D" w:rsidRPr="008A3341" w:rsidRDefault="0067084D" w:rsidP="00062953">
      <w:pPr>
        <w:spacing w:after="60"/>
        <w:ind w:left="540" w:right="-360" w:hanging="450"/>
        <w:rPr>
          <w:sz w:val="22"/>
          <w:szCs w:val="22"/>
        </w:rPr>
      </w:pPr>
      <w:r w:rsidRPr="008A3341">
        <w:rPr>
          <w:b/>
          <w:sz w:val="22"/>
          <w:szCs w:val="22"/>
        </w:rPr>
        <w:t>New Buildings Institute, Inc.,</w:t>
      </w:r>
      <w:r w:rsidRPr="008A3341">
        <w:rPr>
          <w:sz w:val="22"/>
          <w:szCs w:val="22"/>
        </w:rPr>
        <w:t xml:space="preserve"> </w:t>
      </w:r>
      <w:r w:rsidR="008D47FA">
        <w:rPr>
          <w:sz w:val="22"/>
          <w:szCs w:val="22"/>
        </w:rPr>
        <w:t>Corte Madera</w:t>
      </w:r>
      <w:r w:rsidRPr="008A3341">
        <w:rPr>
          <w:sz w:val="22"/>
          <w:szCs w:val="22"/>
        </w:rPr>
        <w:t>, CA</w:t>
      </w:r>
      <w:r w:rsidR="008D47FA">
        <w:rPr>
          <w:sz w:val="22"/>
          <w:szCs w:val="22"/>
        </w:rPr>
        <w:t>/White Salmon, WA</w:t>
      </w:r>
    </w:p>
    <w:p w14:paraId="3CEA66F8" w14:textId="77777777" w:rsidR="0067084D" w:rsidRPr="008A3341" w:rsidRDefault="0067084D" w:rsidP="00027D88">
      <w:pPr>
        <w:numPr>
          <w:ilvl w:val="0"/>
          <w:numId w:val="5"/>
        </w:numPr>
        <w:tabs>
          <w:tab w:val="left" w:pos="1800"/>
          <w:tab w:val="num" w:pos="2520"/>
        </w:tabs>
        <w:ind w:left="734" w:right="-360" w:hanging="187"/>
        <w:rPr>
          <w:iCs/>
          <w:sz w:val="22"/>
          <w:szCs w:val="22"/>
        </w:rPr>
      </w:pPr>
      <w:r w:rsidRPr="008A3341">
        <w:rPr>
          <w:iCs/>
          <w:sz w:val="22"/>
          <w:szCs w:val="22"/>
        </w:rPr>
        <w:t>Senior Program Director, 1999-2002</w:t>
      </w:r>
    </w:p>
    <w:p w14:paraId="077D013A" w14:textId="77777777" w:rsidR="0067084D" w:rsidRPr="008A3341" w:rsidRDefault="0067084D" w:rsidP="00062953">
      <w:pPr>
        <w:numPr>
          <w:ilvl w:val="0"/>
          <w:numId w:val="5"/>
        </w:numPr>
        <w:tabs>
          <w:tab w:val="left" w:pos="1800"/>
        </w:tabs>
        <w:spacing w:after="60"/>
        <w:ind w:left="720" w:right="-360" w:hanging="180"/>
        <w:rPr>
          <w:sz w:val="22"/>
          <w:szCs w:val="22"/>
        </w:rPr>
      </w:pPr>
      <w:r w:rsidRPr="008A3341">
        <w:rPr>
          <w:sz w:val="22"/>
          <w:szCs w:val="22"/>
        </w:rPr>
        <w:t>Founding Board President, 1997-1999</w:t>
      </w:r>
    </w:p>
    <w:p w14:paraId="61A4CC56" w14:textId="77777777" w:rsidR="0067084D" w:rsidRPr="008A3341" w:rsidRDefault="0067084D" w:rsidP="00062953">
      <w:pPr>
        <w:spacing w:after="60"/>
        <w:ind w:left="540" w:right="-360" w:hanging="450"/>
        <w:rPr>
          <w:sz w:val="22"/>
          <w:szCs w:val="22"/>
        </w:rPr>
      </w:pPr>
      <w:r w:rsidRPr="008A3341">
        <w:rPr>
          <w:b/>
          <w:sz w:val="22"/>
          <w:szCs w:val="22"/>
        </w:rPr>
        <w:t>LAS &amp; Associates, Inc.,</w:t>
      </w:r>
      <w:r w:rsidRPr="008A3341">
        <w:rPr>
          <w:sz w:val="22"/>
          <w:szCs w:val="22"/>
        </w:rPr>
        <w:t xml:space="preserve"> Tiburon, CA, </w:t>
      </w:r>
      <w:r w:rsidRPr="008A3341">
        <w:rPr>
          <w:iCs/>
          <w:sz w:val="22"/>
          <w:szCs w:val="22"/>
        </w:rPr>
        <w:t>Director of Business Analysis</w:t>
      </w:r>
      <w:r w:rsidRPr="008A3341">
        <w:rPr>
          <w:sz w:val="22"/>
          <w:szCs w:val="22"/>
        </w:rPr>
        <w:t>, 1998-1999</w:t>
      </w:r>
    </w:p>
    <w:p w14:paraId="0A3FD6E9" w14:textId="5B8E7943" w:rsidR="0067084D" w:rsidRPr="008A3341" w:rsidRDefault="0067084D" w:rsidP="00D036FD">
      <w:pPr>
        <w:spacing w:after="60"/>
        <w:ind w:left="540" w:right="-360" w:hanging="450"/>
        <w:rPr>
          <w:sz w:val="22"/>
          <w:szCs w:val="22"/>
        </w:rPr>
      </w:pPr>
      <w:r w:rsidRPr="008A3341">
        <w:rPr>
          <w:b/>
          <w:sz w:val="22"/>
          <w:szCs w:val="22"/>
        </w:rPr>
        <w:t>Pacific Gas and Electric Company</w:t>
      </w:r>
      <w:r w:rsidRPr="008A3341">
        <w:rPr>
          <w:sz w:val="22"/>
          <w:szCs w:val="22"/>
        </w:rPr>
        <w:t>, San Francisco</w:t>
      </w:r>
      <w:r w:rsidRPr="008A3341">
        <w:rPr>
          <w:iCs/>
          <w:sz w:val="22"/>
          <w:szCs w:val="22"/>
        </w:rPr>
        <w:t>, CA</w:t>
      </w:r>
      <w:r w:rsidR="00062953">
        <w:rPr>
          <w:iCs/>
          <w:sz w:val="22"/>
          <w:szCs w:val="22"/>
        </w:rPr>
        <w:t xml:space="preserve">, </w:t>
      </w:r>
      <w:r w:rsidR="00062953" w:rsidRPr="008A3341">
        <w:rPr>
          <w:iCs/>
          <w:sz w:val="22"/>
          <w:szCs w:val="22"/>
        </w:rPr>
        <w:t>Director of Business Energy Management</w:t>
      </w:r>
      <w:r w:rsidR="00062953">
        <w:rPr>
          <w:iCs/>
          <w:sz w:val="22"/>
          <w:szCs w:val="22"/>
        </w:rPr>
        <w:t xml:space="preserve">, </w:t>
      </w:r>
      <w:r w:rsidR="00062953" w:rsidRPr="00D036FD">
        <w:rPr>
          <w:iCs/>
          <w:sz w:val="22"/>
          <w:szCs w:val="22"/>
        </w:rPr>
        <w:t>Senior Program Manager</w:t>
      </w:r>
      <w:r w:rsidR="00062953" w:rsidRPr="008A3341">
        <w:rPr>
          <w:sz w:val="22"/>
          <w:szCs w:val="22"/>
        </w:rPr>
        <w:t xml:space="preserve"> </w:t>
      </w:r>
      <w:r w:rsidRPr="008A3341">
        <w:rPr>
          <w:sz w:val="22"/>
          <w:szCs w:val="22"/>
        </w:rPr>
        <w:t>1992-1997</w:t>
      </w:r>
    </w:p>
    <w:p w14:paraId="6B93C54F" w14:textId="77777777" w:rsidR="0067084D" w:rsidRPr="008A3341" w:rsidRDefault="0067084D" w:rsidP="00062953">
      <w:pPr>
        <w:spacing w:after="60"/>
        <w:ind w:left="540" w:right="-360" w:hanging="450"/>
        <w:rPr>
          <w:sz w:val="22"/>
          <w:szCs w:val="22"/>
        </w:rPr>
      </w:pPr>
      <w:r w:rsidRPr="008A3341">
        <w:rPr>
          <w:b/>
          <w:sz w:val="22"/>
          <w:szCs w:val="22"/>
        </w:rPr>
        <w:t>Peter M. Schwartz, Energy Consultant</w:t>
      </w:r>
      <w:r w:rsidRPr="008A3341">
        <w:rPr>
          <w:sz w:val="22"/>
          <w:szCs w:val="22"/>
        </w:rPr>
        <w:t>, San Francisco, CA, Principal, 1987-1992</w:t>
      </w:r>
    </w:p>
    <w:p w14:paraId="1F054690" w14:textId="77777777" w:rsidR="0067084D" w:rsidRPr="008A3341" w:rsidRDefault="0067084D" w:rsidP="00062953">
      <w:pPr>
        <w:spacing w:after="60"/>
        <w:ind w:left="540" w:right="-360" w:hanging="450"/>
        <w:rPr>
          <w:sz w:val="22"/>
          <w:szCs w:val="22"/>
        </w:rPr>
      </w:pPr>
      <w:r w:rsidRPr="008A3341">
        <w:rPr>
          <w:b/>
          <w:sz w:val="22"/>
          <w:szCs w:val="22"/>
        </w:rPr>
        <w:t>Pacific Construction and Manufacturing, Inc</w:t>
      </w:r>
      <w:r w:rsidRPr="008A3341">
        <w:rPr>
          <w:sz w:val="22"/>
          <w:szCs w:val="22"/>
        </w:rPr>
        <w:t>., Burlingame, CA, Project Manager/Estimator, 1988</w:t>
      </w:r>
    </w:p>
    <w:p w14:paraId="2870B44B" w14:textId="77777777" w:rsidR="0067084D" w:rsidRPr="008A3341" w:rsidRDefault="0067084D" w:rsidP="00062953">
      <w:pPr>
        <w:spacing w:after="60"/>
        <w:ind w:left="540" w:right="-360" w:hanging="450"/>
        <w:rPr>
          <w:sz w:val="22"/>
          <w:szCs w:val="22"/>
        </w:rPr>
      </w:pPr>
      <w:r w:rsidRPr="008A3341">
        <w:rPr>
          <w:b/>
          <w:sz w:val="22"/>
          <w:szCs w:val="22"/>
        </w:rPr>
        <w:t xml:space="preserve">Charles </w:t>
      </w:r>
      <w:proofErr w:type="spellStart"/>
      <w:r w:rsidRPr="008A3341">
        <w:rPr>
          <w:b/>
          <w:sz w:val="22"/>
          <w:szCs w:val="22"/>
        </w:rPr>
        <w:t>Eley</w:t>
      </w:r>
      <w:proofErr w:type="spellEnd"/>
      <w:r w:rsidRPr="008A3341">
        <w:rPr>
          <w:b/>
          <w:sz w:val="22"/>
          <w:szCs w:val="22"/>
        </w:rPr>
        <w:t xml:space="preserve"> Associates</w:t>
      </w:r>
      <w:r w:rsidRPr="008A3341">
        <w:rPr>
          <w:sz w:val="22"/>
          <w:szCs w:val="22"/>
        </w:rPr>
        <w:t xml:space="preserve">, San Francisco, CA, </w:t>
      </w:r>
      <w:r w:rsidRPr="008A3341">
        <w:rPr>
          <w:iCs/>
          <w:sz w:val="22"/>
          <w:szCs w:val="22"/>
        </w:rPr>
        <w:t>Project Manager</w:t>
      </w:r>
      <w:r w:rsidRPr="008A3341">
        <w:rPr>
          <w:sz w:val="22"/>
          <w:szCs w:val="22"/>
        </w:rPr>
        <w:t xml:space="preserve">, 1984-1987 </w:t>
      </w:r>
    </w:p>
    <w:p w14:paraId="06C15AA5" w14:textId="77777777" w:rsidR="0067084D" w:rsidRPr="008A3341" w:rsidRDefault="0067084D" w:rsidP="00062953">
      <w:pPr>
        <w:spacing w:after="60"/>
        <w:ind w:left="540" w:right="-360" w:hanging="450"/>
        <w:rPr>
          <w:sz w:val="22"/>
          <w:szCs w:val="22"/>
        </w:rPr>
      </w:pPr>
      <w:r w:rsidRPr="008A3341">
        <w:rPr>
          <w:b/>
          <w:sz w:val="22"/>
          <w:szCs w:val="22"/>
        </w:rPr>
        <w:t>Energy Simulation Specialists, Inc.,</w:t>
      </w:r>
      <w:r w:rsidRPr="008A3341">
        <w:rPr>
          <w:sz w:val="22"/>
          <w:szCs w:val="22"/>
        </w:rPr>
        <w:t xml:space="preserve"> Tempe, AZ, Energy Analyst, 1984</w:t>
      </w:r>
    </w:p>
    <w:p w14:paraId="42BF24AA" w14:textId="21DC77A4" w:rsidR="0067084D" w:rsidRPr="008A3341" w:rsidRDefault="0067084D" w:rsidP="00062953">
      <w:pPr>
        <w:spacing w:after="60"/>
        <w:ind w:left="540" w:right="-360" w:hanging="450"/>
        <w:rPr>
          <w:bCs/>
          <w:sz w:val="22"/>
          <w:szCs w:val="22"/>
        </w:rPr>
      </w:pPr>
      <w:r w:rsidRPr="008A3341">
        <w:rPr>
          <w:b/>
          <w:bCs/>
          <w:sz w:val="22"/>
          <w:szCs w:val="22"/>
        </w:rPr>
        <w:t>Cent</w:t>
      </w:r>
      <w:r w:rsidR="00062953">
        <w:rPr>
          <w:b/>
          <w:bCs/>
          <w:sz w:val="22"/>
          <w:szCs w:val="22"/>
        </w:rPr>
        <w:t>er for Neighborhood Technology</w:t>
      </w:r>
      <w:r w:rsidRPr="008A3341">
        <w:rPr>
          <w:b/>
          <w:bCs/>
          <w:sz w:val="22"/>
          <w:szCs w:val="22"/>
        </w:rPr>
        <w:t>,</w:t>
      </w:r>
      <w:r w:rsidRPr="008A3341">
        <w:rPr>
          <w:bCs/>
          <w:sz w:val="22"/>
          <w:szCs w:val="22"/>
        </w:rPr>
        <w:t xml:space="preserve"> Chicago, IL, Consultant, 1982-1983 </w:t>
      </w:r>
    </w:p>
    <w:p w14:paraId="39EE547E" w14:textId="77777777" w:rsidR="0067084D" w:rsidRPr="008A3341" w:rsidRDefault="0067084D" w:rsidP="00062953">
      <w:pPr>
        <w:spacing w:after="60"/>
        <w:ind w:left="540" w:right="-360" w:hanging="450"/>
        <w:rPr>
          <w:sz w:val="22"/>
          <w:szCs w:val="22"/>
        </w:rPr>
      </w:pPr>
      <w:r w:rsidRPr="008A3341">
        <w:rPr>
          <w:b/>
          <w:sz w:val="22"/>
          <w:szCs w:val="22"/>
        </w:rPr>
        <w:t>Franklin County Energy Project,</w:t>
      </w:r>
      <w:r w:rsidRPr="008A3341">
        <w:rPr>
          <w:sz w:val="22"/>
          <w:szCs w:val="22"/>
        </w:rPr>
        <w:t xml:space="preserve"> Greenfield, MA, Consultant, 1980</w:t>
      </w:r>
    </w:p>
    <w:p w14:paraId="072C2B3C" w14:textId="77777777" w:rsidR="0067084D" w:rsidRPr="008A3341" w:rsidRDefault="0067084D" w:rsidP="00062953">
      <w:pPr>
        <w:spacing w:after="60"/>
        <w:ind w:left="540" w:right="-360" w:hanging="450"/>
        <w:rPr>
          <w:sz w:val="22"/>
          <w:szCs w:val="22"/>
        </w:rPr>
      </w:pPr>
      <w:r w:rsidRPr="008A3341">
        <w:rPr>
          <w:b/>
          <w:sz w:val="22"/>
          <w:szCs w:val="22"/>
        </w:rPr>
        <w:t>Medium Energy Nuclear Physics Group,</w:t>
      </w:r>
      <w:r w:rsidRPr="008A3341">
        <w:rPr>
          <w:sz w:val="22"/>
          <w:szCs w:val="22"/>
        </w:rPr>
        <w:t xml:space="preserve"> University of Massachusetts, Amherst, MA, Research Assistant, 1979</w:t>
      </w:r>
    </w:p>
    <w:p w14:paraId="44835EE2" w14:textId="77777777" w:rsidR="0067084D" w:rsidRPr="008A3341" w:rsidRDefault="0067084D" w:rsidP="00062953">
      <w:pPr>
        <w:spacing w:after="60"/>
        <w:ind w:left="540" w:right="-360" w:hanging="450"/>
        <w:rPr>
          <w:sz w:val="22"/>
          <w:szCs w:val="22"/>
        </w:rPr>
      </w:pPr>
      <w:r w:rsidRPr="008A3341">
        <w:rPr>
          <w:b/>
          <w:sz w:val="22"/>
          <w:szCs w:val="22"/>
        </w:rPr>
        <w:t>Congressional Clearinghouse on the Future,</w:t>
      </w:r>
      <w:r w:rsidRPr="008A3341">
        <w:rPr>
          <w:sz w:val="22"/>
          <w:szCs w:val="22"/>
        </w:rPr>
        <w:t xml:space="preserve"> Washington, D.C., Staff Science Specialist, 1978</w:t>
      </w:r>
    </w:p>
    <w:p w14:paraId="7EDBE5E1" w14:textId="069E07ED" w:rsidR="0067084D" w:rsidRPr="008A3341" w:rsidRDefault="0067084D" w:rsidP="00062953">
      <w:pPr>
        <w:spacing w:after="60"/>
        <w:ind w:left="540" w:right="-360" w:hanging="450"/>
        <w:rPr>
          <w:sz w:val="22"/>
          <w:szCs w:val="22"/>
        </w:rPr>
      </w:pPr>
      <w:r w:rsidRPr="008A3341">
        <w:rPr>
          <w:b/>
          <w:sz w:val="22"/>
          <w:szCs w:val="22"/>
        </w:rPr>
        <w:t>Schwartz Architects and Engineers, Inc.</w:t>
      </w:r>
      <w:r w:rsidRPr="008A3341">
        <w:rPr>
          <w:sz w:val="22"/>
          <w:szCs w:val="22"/>
        </w:rPr>
        <w:t>, Barrington, IL, Energy</w:t>
      </w:r>
      <w:r w:rsidR="00062953">
        <w:rPr>
          <w:sz w:val="22"/>
          <w:szCs w:val="22"/>
        </w:rPr>
        <w:t>/Design</w:t>
      </w:r>
      <w:r w:rsidRPr="008A3341">
        <w:rPr>
          <w:sz w:val="22"/>
          <w:szCs w:val="22"/>
        </w:rPr>
        <w:t xml:space="preserve"> Consultant, 1978-1990</w:t>
      </w:r>
    </w:p>
    <w:p w14:paraId="085724A7" w14:textId="77777777" w:rsidR="00A02AA0" w:rsidRPr="00B90668" w:rsidRDefault="00A02AA0" w:rsidP="008727D8">
      <w:pPr>
        <w:pStyle w:val="Heading1"/>
        <w:pBdr>
          <w:bottom w:val="single" w:sz="24" w:space="1" w:color="17365D"/>
        </w:pBdr>
        <w:tabs>
          <w:tab w:val="left" w:pos="5347"/>
        </w:tabs>
        <w:spacing w:before="120"/>
        <w:rPr>
          <w:rFonts w:ascii="Tahoma" w:hAnsi="Tahoma" w:cs="Tahoma"/>
          <w:sz w:val="24"/>
          <w:szCs w:val="26"/>
        </w:rPr>
      </w:pPr>
      <w:r w:rsidRPr="00B90668">
        <w:rPr>
          <w:rFonts w:ascii="Tahoma" w:hAnsi="Tahoma" w:cs="Tahoma"/>
          <w:sz w:val="24"/>
          <w:szCs w:val="26"/>
        </w:rPr>
        <w:t>Education</w:t>
      </w:r>
    </w:p>
    <w:p w14:paraId="1225DEEE" w14:textId="77777777" w:rsidR="00A02AA0" w:rsidRPr="00C14966" w:rsidRDefault="00A02AA0" w:rsidP="00062953">
      <w:pPr>
        <w:widowControl w:val="0"/>
        <w:tabs>
          <w:tab w:val="left" w:pos="2160"/>
        </w:tabs>
        <w:autoSpaceDE w:val="0"/>
        <w:autoSpaceDN w:val="0"/>
        <w:adjustRightInd w:val="0"/>
        <w:spacing w:after="60"/>
        <w:ind w:left="360"/>
        <w:rPr>
          <w:sz w:val="22"/>
          <w:szCs w:val="22"/>
        </w:rPr>
      </w:pPr>
      <w:proofErr w:type="gramStart"/>
      <w:r w:rsidRPr="00062953">
        <w:rPr>
          <w:b/>
          <w:sz w:val="22"/>
          <w:szCs w:val="22"/>
        </w:rPr>
        <w:t>Arizona State University</w:t>
      </w:r>
      <w:r w:rsidRPr="00C14966">
        <w:rPr>
          <w:sz w:val="22"/>
          <w:szCs w:val="22"/>
        </w:rPr>
        <w:t>—M.E.P., (Master of Environmental Planning), specializing in building energy technology and analysis.</w:t>
      </w:r>
      <w:proofErr w:type="gramEnd"/>
    </w:p>
    <w:p w14:paraId="51E61625" w14:textId="37316ECF" w:rsidR="00A02AA0" w:rsidRPr="00C14966" w:rsidRDefault="00A02AA0" w:rsidP="00062953">
      <w:pPr>
        <w:widowControl w:val="0"/>
        <w:tabs>
          <w:tab w:val="left" w:pos="2160"/>
        </w:tabs>
        <w:autoSpaceDE w:val="0"/>
        <w:autoSpaceDN w:val="0"/>
        <w:adjustRightInd w:val="0"/>
        <w:spacing w:after="60"/>
        <w:ind w:left="360"/>
        <w:rPr>
          <w:sz w:val="22"/>
          <w:szCs w:val="22"/>
        </w:rPr>
      </w:pPr>
      <w:r w:rsidRPr="00062953">
        <w:rPr>
          <w:b/>
          <w:sz w:val="22"/>
          <w:szCs w:val="22"/>
        </w:rPr>
        <w:t>University of Massachusetts at Amherst</w:t>
      </w:r>
      <w:r w:rsidRPr="00C14966">
        <w:rPr>
          <w:sz w:val="22"/>
          <w:szCs w:val="22"/>
        </w:rPr>
        <w:t xml:space="preserve">—B.Sc., Environmental Physics—Bachelor’s Degree with Individual Concentration (Double-major in physics and mathematics specializing in technology assessment, energy policy and environmental politics). </w:t>
      </w:r>
    </w:p>
    <w:p w14:paraId="02EC6070" w14:textId="77777777" w:rsidR="00A02AA0" w:rsidRPr="00C14966" w:rsidRDefault="00A02AA0" w:rsidP="00062953">
      <w:pPr>
        <w:widowControl w:val="0"/>
        <w:tabs>
          <w:tab w:val="left" w:pos="2160"/>
        </w:tabs>
        <w:autoSpaceDE w:val="0"/>
        <w:autoSpaceDN w:val="0"/>
        <w:adjustRightInd w:val="0"/>
        <w:spacing w:after="60"/>
        <w:ind w:left="360"/>
        <w:rPr>
          <w:sz w:val="22"/>
          <w:szCs w:val="22"/>
        </w:rPr>
      </w:pPr>
      <w:r w:rsidRPr="00C14966">
        <w:rPr>
          <w:sz w:val="22"/>
          <w:szCs w:val="22"/>
        </w:rPr>
        <w:t>University of California, Berkeley Extension—Project Management and Total Quality Management programs.</w:t>
      </w:r>
    </w:p>
    <w:p w14:paraId="413C57BE" w14:textId="5281ECF7" w:rsidR="004377BE" w:rsidRDefault="00062953" w:rsidP="00062953">
      <w:pPr>
        <w:widowControl w:val="0"/>
        <w:tabs>
          <w:tab w:val="left" w:pos="2160"/>
        </w:tabs>
        <w:autoSpaceDE w:val="0"/>
        <w:autoSpaceDN w:val="0"/>
        <w:adjustRightInd w:val="0"/>
        <w:spacing w:after="60"/>
        <w:ind w:left="360"/>
        <w:rPr>
          <w:sz w:val="22"/>
          <w:szCs w:val="22"/>
        </w:rPr>
      </w:pPr>
      <w:r>
        <w:rPr>
          <w:sz w:val="22"/>
          <w:szCs w:val="22"/>
        </w:rPr>
        <w:t>AIA</w:t>
      </w:r>
      <w:r w:rsidR="00A02AA0" w:rsidRPr="00C14966">
        <w:rPr>
          <w:sz w:val="22"/>
          <w:szCs w:val="22"/>
        </w:rPr>
        <w:t xml:space="preserve"> Energy Professional Development Program: “Energy in Architecture.”</w:t>
      </w:r>
    </w:p>
    <w:p w14:paraId="2D1815E5" w14:textId="77777777" w:rsidR="004377BE" w:rsidRPr="00EB56D1" w:rsidRDefault="004377BE" w:rsidP="004377BE">
      <w:pPr>
        <w:pStyle w:val="Heading1"/>
        <w:pBdr>
          <w:bottom w:val="single" w:sz="24" w:space="1" w:color="17365D"/>
        </w:pBdr>
        <w:rPr>
          <w:rFonts w:ascii="Tahoma" w:hAnsi="Tahoma" w:cs="Tahoma"/>
          <w:sz w:val="26"/>
          <w:szCs w:val="26"/>
        </w:rPr>
      </w:pPr>
      <w:r>
        <w:rPr>
          <w:sz w:val="22"/>
          <w:szCs w:val="22"/>
        </w:rPr>
        <w:br w:type="page"/>
      </w:r>
      <w:r w:rsidRPr="00EB56D1">
        <w:rPr>
          <w:rFonts w:ascii="Tahoma" w:hAnsi="Tahoma" w:cs="Tahoma"/>
          <w:sz w:val="26"/>
          <w:szCs w:val="26"/>
        </w:rPr>
        <w:lastRenderedPageBreak/>
        <w:t>Selected Publications List</w:t>
      </w:r>
    </w:p>
    <w:p w14:paraId="2B538D86" w14:textId="77777777" w:rsidR="00837E58" w:rsidRPr="00F571AD" w:rsidRDefault="00837E58" w:rsidP="00837E58">
      <w:pPr>
        <w:spacing w:after="120"/>
        <w:rPr>
          <w:sz w:val="22"/>
          <w:szCs w:val="22"/>
        </w:rPr>
      </w:pPr>
      <w:r w:rsidRPr="00F571AD">
        <w:rPr>
          <w:sz w:val="22"/>
          <w:szCs w:val="22"/>
        </w:rPr>
        <w:t xml:space="preserve">Peter Alstone, Jennifer Potter, Mary Ann Piette, Peter Schwartz, Michael A. Berger, Laurel N. Dunn, Sarah J. Smith, Michael D. </w:t>
      </w:r>
      <w:proofErr w:type="spellStart"/>
      <w:r w:rsidRPr="00F571AD">
        <w:rPr>
          <w:sz w:val="22"/>
          <w:szCs w:val="22"/>
        </w:rPr>
        <w:t>Sohn</w:t>
      </w:r>
      <w:proofErr w:type="spellEnd"/>
      <w:r w:rsidRPr="00F571AD">
        <w:rPr>
          <w:sz w:val="22"/>
          <w:szCs w:val="22"/>
        </w:rPr>
        <w:t xml:space="preserve">, Arian </w:t>
      </w:r>
      <w:proofErr w:type="spellStart"/>
      <w:r w:rsidRPr="00F571AD">
        <w:rPr>
          <w:sz w:val="22"/>
          <w:szCs w:val="22"/>
        </w:rPr>
        <w:t>Aghajanzadeh</w:t>
      </w:r>
      <w:proofErr w:type="spellEnd"/>
      <w:r w:rsidRPr="00F571AD">
        <w:rPr>
          <w:sz w:val="22"/>
          <w:szCs w:val="22"/>
        </w:rPr>
        <w:t xml:space="preserve">, Sofia </w:t>
      </w:r>
      <w:proofErr w:type="spellStart"/>
      <w:r w:rsidRPr="00F571AD">
        <w:rPr>
          <w:sz w:val="22"/>
          <w:szCs w:val="22"/>
        </w:rPr>
        <w:t>Stensson</w:t>
      </w:r>
      <w:proofErr w:type="spellEnd"/>
      <w:r w:rsidRPr="00F571AD">
        <w:rPr>
          <w:sz w:val="22"/>
          <w:szCs w:val="22"/>
        </w:rPr>
        <w:t xml:space="preserve">, Julia </w:t>
      </w:r>
      <w:proofErr w:type="spellStart"/>
      <w:r w:rsidRPr="00F571AD">
        <w:rPr>
          <w:sz w:val="22"/>
          <w:szCs w:val="22"/>
        </w:rPr>
        <w:t>Szinai</w:t>
      </w:r>
      <w:proofErr w:type="spellEnd"/>
      <w:r w:rsidRPr="00F571AD">
        <w:rPr>
          <w:sz w:val="22"/>
          <w:szCs w:val="22"/>
        </w:rPr>
        <w:t>, Travis Walter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“</w:t>
      </w:r>
      <w:r w:rsidRPr="00F571AD">
        <w:rPr>
          <w:i/>
          <w:sz w:val="22"/>
          <w:szCs w:val="22"/>
        </w:rPr>
        <w:t>Final Report on Phase 2 Results, 2025 California Demand Response Potential Study, Charting California’s Demand Response Future”</w:t>
      </w:r>
      <w:r>
        <w:rPr>
          <w:sz w:val="22"/>
          <w:szCs w:val="22"/>
        </w:rPr>
        <w:t xml:space="preserve">, </w:t>
      </w:r>
      <w:r w:rsidRPr="00837E58">
        <w:rPr>
          <w:sz w:val="22"/>
          <w:szCs w:val="22"/>
        </w:rPr>
        <w:t>March 1, 2017</w:t>
      </w:r>
      <w:r>
        <w:rPr>
          <w:sz w:val="22"/>
          <w:szCs w:val="22"/>
        </w:rPr>
        <w:t>.</w:t>
      </w:r>
    </w:p>
    <w:p w14:paraId="604F1784" w14:textId="64E81B58" w:rsidR="008D73D4" w:rsidRPr="008D73D4" w:rsidRDefault="008D73D4" w:rsidP="008D73D4">
      <w:pPr>
        <w:spacing w:after="120"/>
        <w:rPr>
          <w:sz w:val="22"/>
          <w:szCs w:val="22"/>
        </w:rPr>
      </w:pPr>
      <w:r w:rsidRPr="008D73D4">
        <w:rPr>
          <w:sz w:val="22"/>
          <w:szCs w:val="22"/>
        </w:rPr>
        <w:t xml:space="preserve">Peter Alstone, Jennifer Potter, Mary Ann Piette, Peter Schwartz, Michael A. Berger, Laurel N. Dunn, Sarah J. Smith, Michael D. </w:t>
      </w:r>
      <w:proofErr w:type="spellStart"/>
      <w:r w:rsidRPr="008D73D4">
        <w:rPr>
          <w:sz w:val="22"/>
          <w:szCs w:val="22"/>
        </w:rPr>
        <w:t>Sohn</w:t>
      </w:r>
      <w:proofErr w:type="spellEnd"/>
      <w:r w:rsidRPr="008D73D4">
        <w:rPr>
          <w:sz w:val="22"/>
          <w:szCs w:val="22"/>
        </w:rPr>
        <w:t xml:space="preserve">, Arian </w:t>
      </w:r>
      <w:proofErr w:type="spellStart"/>
      <w:r w:rsidRPr="008D73D4">
        <w:rPr>
          <w:sz w:val="22"/>
          <w:szCs w:val="22"/>
        </w:rPr>
        <w:t>Aghajanzadeh</w:t>
      </w:r>
      <w:proofErr w:type="spellEnd"/>
      <w:r w:rsidRPr="008D73D4">
        <w:rPr>
          <w:sz w:val="22"/>
          <w:szCs w:val="22"/>
        </w:rPr>
        <w:t xml:space="preserve">, Sofia </w:t>
      </w:r>
      <w:proofErr w:type="spellStart"/>
      <w:r w:rsidRPr="008D73D4">
        <w:rPr>
          <w:sz w:val="22"/>
          <w:szCs w:val="22"/>
        </w:rPr>
        <w:t>Stensson</w:t>
      </w:r>
      <w:proofErr w:type="spellEnd"/>
      <w:r w:rsidRPr="008D73D4">
        <w:rPr>
          <w:sz w:val="22"/>
          <w:szCs w:val="22"/>
        </w:rPr>
        <w:t xml:space="preserve">, Julia </w:t>
      </w:r>
      <w:proofErr w:type="spellStart"/>
      <w:r w:rsidRPr="008D73D4">
        <w:rPr>
          <w:sz w:val="22"/>
          <w:szCs w:val="22"/>
        </w:rPr>
        <w:t>Szinai</w:t>
      </w:r>
      <w:proofErr w:type="spellEnd"/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“</w:t>
      </w:r>
      <w:r w:rsidRPr="008D73D4">
        <w:rPr>
          <w:i/>
          <w:sz w:val="22"/>
          <w:szCs w:val="22"/>
        </w:rPr>
        <w:t>Interim Report on Phase 1 Results</w:t>
      </w:r>
      <w:r>
        <w:rPr>
          <w:i/>
          <w:sz w:val="22"/>
          <w:szCs w:val="22"/>
        </w:rPr>
        <w:t>, 202</w:t>
      </w:r>
      <w:r w:rsidRPr="008D73D4">
        <w:rPr>
          <w:i/>
          <w:sz w:val="22"/>
          <w:szCs w:val="22"/>
        </w:rPr>
        <w:t>5 California Demand Response Potential Study</w:t>
      </w:r>
      <w:r>
        <w:rPr>
          <w:i/>
          <w:sz w:val="22"/>
          <w:szCs w:val="22"/>
        </w:rPr>
        <w:t xml:space="preserve">, </w:t>
      </w:r>
      <w:r w:rsidRPr="008D73D4">
        <w:rPr>
          <w:i/>
          <w:sz w:val="22"/>
          <w:szCs w:val="22"/>
        </w:rPr>
        <w:t>Charting California’s Demand Response Future</w:t>
      </w:r>
      <w:r>
        <w:rPr>
          <w:i/>
          <w:sz w:val="22"/>
          <w:szCs w:val="22"/>
        </w:rPr>
        <w:t>”</w:t>
      </w:r>
      <w:r>
        <w:rPr>
          <w:sz w:val="22"/>
          <w:szCs w:val="22"/>
        </w:rPr>
        <w:t>,</w:t>
      </w:r>
      <w:r w:rsidRPr="008D73D4">
        <w:t xml:space="preserve"> </w:t>
      </w:r>
      <w:r w:rsidRPr="008D73D4">
        <w:rPr>
          <w:sz w:val="22"/>
          <w:szCs w:val="22"/>
        </w:rPr>
        <w:t>April 1, 2016</w:t>
      </w:r>
      <w:r w:rsidR="00837E58">
        <w:rPr>
          <w:sz w:val="22"/>
          <w:szCs w:val="22"/>
        </w:rPr>
        <w:t>.</w:t>
      </w:r>
    </w:p>
    <w:p w14:paraId="04FEA9B5" w14:textId="1D2C4717" w:rsidR="00F84595" w:rsidRPr="00F84595" w:rsidRDefault="00F84595" w:rsidP="00F84595">
      <w:pPr>
        <w:spacing w:after="120"/>
        <w:rPr>
          <w:sz w:val="22"/>
          <w:szCs w:val="22"/>
        </w:rPr>
      </w:pPr>
      <w:r w:rsidRPr="00F84595">
        <w:rPr>
          <w:sz w:val="22"/>
          <w:szCs w:val="22"/>
        </w:rPr>
        <w:t>Cindy Regnier, P.E., Paul Mathew, Ph.D., Alastair Robinson, Peter Schwartz, Travis Walter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“</w:t>
      </w:r>
      <w:r w:rsidRPr="00F84595">
        <w:rPr>
          <w:i/>
          <w:sz w:val="22"/>
          <w:szCs w:val="22"/>
        </w:rPr>
        <w:t>Beyond Widgets – Systems Incentive Programs for Utilities</w:t>
      </w:r>
      <w:r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, </w:t>
      </w:r>
      <w:r w:rsidRPr="009113C1">
        <w:rPr>
          <w:sz w:val="22"/>
          <w:szCs w:val="22"/>
        </w:rPr>
        <w:t xml:space="preserve">In </w:t>
      </w:r>
      <w:r>
        <w:rPr>
          <w:i/>
          <w:iCs/>
          <w:sz w:val="22"/>
          <w:szCs w:val="22"/>
        </w:rPr>
        <w:t>2016</w:t>
      </w:r>
      <w:r w:rsidRPr="009113C1">
        <w:rPr>
          <w:i/>
          <w:iCs/>
          <w:sz w:val="22"/>
          <w:szCs w:val="22"/>
        </w:rPr>
        <w:t xml:space="preserve"> ACEEE Summer Study on Energy Efficiency in Buildings</w:t>
      </w:r>
      <w:r w:rsidRPr="009113C1">
        <w:rPr>
          <w:sz w:val="22"/>
          <w:szCs w:val="22"/>
        </w:rPr>
        <w:t>. Pacific Grove, C</w:t>
      </w:r>
      <w:r>
        <w:rPr>
          <w:sz w:val="22"/>
          <w:szCs w:val="22"/>
        </w:rPr>
        <w:t>A, 2016</w:t>
      </w:r>
    </w:p>
    <w:p w14:paraId="100CD074" w14:textId="77777777" w:rsidR="004377BE" w:rsidRPr="009113C1" w:rsidRDefault="004377BE" w:rsidP="004377BE">
      <w:pPr>
        <w:spacing w:after="120"/>
        <w:rPr>
          <w:bCs/>
          <w:iCs/>
          <w:sz w:val="22"/>
          <w:szCs w:val="22"/>
        </w:rPr>
      </w:pPr>
      <w:bookmarkStart w:id="1" w:name="_GoBack"/>
      <w:bookmarkEnd w:id="1"/>
      <w:r w:rsidRPr="009113C1">
        <w:rPr>
          <w:sz w:val="22"/>
          <w:szCs w:val="22"/>
        </w:rPr>
        <w:t>Schwartz, Peter M., Dresser, Mark,</w:t>
      </w:r>
      <w:r w:rsidRPr="009113C1">
        <w:rPr>
          <w:bCs/>
          <w:iCs/>
          <w:sz w:val="22"/>
          <w:szCs w:val="22"/>
        </w:rPr>
        <w:t xml:space="preserve"> </w:t>
      </w:r>
      <w:r w:rsidRPr="009113C1">
        <w:rPr>
          <w:bCs/>
          <w:i/>
          <w:iCs/>
          <w:sz w:val="22"/>
          <w:szCs w:val="22"/>
        </w:rPr>
        <w:t>”Specifying Lighting Controls: Intelligent Lighting is the Building App for the Smart Grid ”</w:t>
      </w:r>
      <w:r w:rsidRPr="009113C1">
        <w:rPr>
          <w:bCs/>
          <w:iCs/>
          <w:sz w:val="22"/>
          <w:szCs w:val="22"/>
        </w:rPr>
        <w:t>, in THE CONSTRUCTION SPECIFIER MAGAZINE-</w:t>
      </w:r>
      <w:r w:rsidRPr="009113C1">
        <w:rPr>
          <w:sz w:val="22"/>
          <w:szCs w:val="22"/>
        </w:rPr>
        <w:t xml:space="preserve"> </w:t>
      </w:r>
      <w:r w:rsidRPr="009113C1">
        <w:rPr>
          <w:bCs/>
          <w:iCs/>
          <w:sz w:val="22"/>
          <w:szCs w:val="22"/>
        </w:rPr>
        <w:t>May 2011.</w:t>
      </w:r>
    </w:p>
    <w:p w14:paraId="56A5B8F2" w14:textId="77777777" w:rsidR="004377BE" w:rsidRPr="009113C1" w:rsidRDefault="004377BE" w:rsidP="004377BE">
      <w:pPr>
        <w:spacing w:after="120"/>
        <w:rPr>
          <w:bCs/>
          <w:iCs/>
          <w:sz w:val="22"/>
          <w:szCs w:val="22"/>
        </w:rPr>
      </w:pPr>
      <w:proofErr w:type="gramStart"/>
      <w:r w:rsidRPr="009113C1">
        <w:rPr>
          <w:sz w:val="22"/>
          <w:szCs w:val="22"/>
        </w:rPr>
        <w:t xml:space="preserve">Schwartz, Peter M., </w:t>
      </w:r>
      <w:r w:rsidRPr="009113C1">
        <w:rPr>
          <w:bCs/>
          <w:i/>
          <w:iCs/>
          <w:sz w:val="22"/>
          <w:szCs w:val="22"/>
        </w:rPr>
        <w:t>”Lighting Trends In Federal Buildings”</w:t>
      </w:r>
      <w:r w:rsidRPr="009113C1">
        <w:rPr>
          <w:bCs/>
          <w:iCs/>
          <w:sz w:val="22"/>
          <w:szCs w:val="22"/>
        </w:rPr>
        <w:t>, Industry Brief, 2010.</w:t>
      </w:r>
      <w:proofErr w:type="gramEnd"/>
    </w:p>
    <w:p w14:paraId="2EB50EB5" w14:textId="77777777" w:rsidR="004377BE" w:rsidRPr="009113C1" w:rsidRDefault="004377BE" w:rsidP="004377BE">
      <w:pPr>
        <w:spacing w:after="120"/>
        <w:rPr>
          <w:sz w:val="22"/>
          <w:szCs w:val="22"/>
        </w:rPr>
      </w:pPr>
      <w:r w:rsidRPr="009113C1">
        <w:rPr>
          <w:sz w:val="22"/>
          <w:szCs w:val="22"/>
        </w:rPr>
        <w:t xml:space="preserve"> [Rubinstein 2008] F Rubinstein, D </w:t>
      </w:r>
      <w:proofErr w:type="spellStart"/>
      <w:r w:rsidRPr="009113C1">
        <w:rPr>
          <w:sz w:val="22"/>
          <w:szCs w:val="22"/>
        </w:rPr>
        <w:t>Bolotov</w:t>
      </w:r>
      <w:proofErr w:type="spellEnd"/>
      <w:r w:rsidRPr="009113C1">
        <w:rPr>
          <w:sz w:val="22"/>
          <w:szCs w:val="22"/>
        </w:rPr>
        <w:t>, M Levi, K Powell, P Schwartz, “The Advantages of Highly Controlled Lighting for Offices and Commercial Buildings”, Proc. 2008 American Council for Energy-Efficient Economy, Pacific Grove, CA, August 2008.</w:t>
      </w:r>
    </w:p>
    <w:p w14:paraId="7301F3B8" w14:textId="77777777" w:rsidR="004377BE" w:rsidRPr="009113C1" w:rsidRDefault="004377BE" w:rsidP="004377BE">
      <w:pPr>
        <w:spacing w:after="120"/>
        <w:rPr>
          <w:sz w:val="22"/>
          <w:szCs w:val="22"/>
        </w:rPr>
      </w:pPr>
      <w:hyperlink r:id="rId9" w:history="1">
        <w:r w:rsidRPr="009113C1">
          <w:rPr>
            <w:rStyle w:val="Hyperlink"/>
            <w:rFonts w:eastAsia="MS Gothic"/>
            <w:sz w:val="22"/>
            <w:szCs w:val="22"/>
          </w:rPr>
          <w:t>Rubinstein, Francis M.</w:t>
        </w:r>
      </w:hyperlink>
      <w:r w:rsidRPr="009113C1">
        <w:rPr>
          <w:sz w:val="22"/>
          <w:szCs w:val="22"/>
        </w:rPr>
        <w:t xml:space="preserve">, </w:t>
      </w:r>
      <w:hyperlink r:id="rId10" w:history="1">
        <w:proofErr w:type="spellStart"/>
        <w:r w:rsidRPr="009113C1">
          <w:rPr>
            <w:rStyle w:val="Hyperlink"/>
            <w:rFonts w:eastAsia="MS Gothic"/>
            <w:sz w:val="22"/>
            <w:szCs w:val="22"/>
          </w:rPr>
          <w:t>Dmitriy</w:t>
        </w:r>
        <w:proofErr w:type="spellEnd"/>
        <w:r w:rsidRPr="009113C1">
          <w:rPr>
            <w:rStyle w:val="Hyperlink"/>
            <w:rFonts w:eastAsia="MS Gothic"/>
            <w:sz w:val="22"/>
            <w:szCs w:val="22"/>
          </w:rPr>
          <w:t xml:space="preserve"> </w:t>
        </w:r>
        <w:proofErr w:type="spellStart"/>
        <w:r w:rsidRPr="009113C1">
          <w:rPr>
            <w:rStyle w:val="Hyperlink"/>
            <w:rFonts w:eastAsia="MS Gothic"/>
            <w:sz w:val="22"/>
            <w:szCs w:val="22"/>
          </w:rPr>
          <w:t>Bolotov</w:t>
        </w:r>
        <w:proofErr w:type="spellEnd"/>
      </w:hyperlink>
      <w:r w:rsidRPr="009113C1">
        <w:rPr>
          <w:sz w:val="22"/>
          <w:szCs w:val="22"/>
        </w:rPr>
        <w:t xml:space="preserve">, </w:t>
      </w:r>
      <w:hyperlink r:id="rId11" w:history="1">
        <w:r w:rsidRPr="009113C1">
          <w:rPr>
            <w:rStyle w:val="Hyperlink"/>
            <w:rFonts w:eastAsia="MS Gothic"/>
            <w:sz w:val="22"/>
            <w:szCs w:val="22"/>
          </w:rPr>
          <w:t>Mark S. Levi</w:t>
        </w:r>
      </w:hyperlink>
      <w:r w:rsidRPr="009113C1">
        <w:rPr>
          <w:sz w:val="22"/>
          <w:szCs w:val="22"/>
        </w:rPr>
        <w:t xml:space="preserve">, </w:t>
      </w:r>
      <w:hyperlink r:id="rId12" w:history="1">
        <w:r w:rsidRPr="009113C1">
          <w:rPr>
            <w:rStyle w:val="Hyperlink"/>
            <w:rFonts w:eastAsia="MS Gothic"/>
            <w:sz w:val="22"/>
            <w:szCs w:val="22"/>
          </w:rPr>
          <w:t>Kevin Powell</w:t>
        </w:r>
      </w:hyperlink>
      <w:r w:rsidRPr="009113C1">
        <w:rPr>
          <w:sz w:val="22"/>
          <w:szCs w:val="22"/>
        </w:rPr>
        <w:t xml:space="preserve">, and </w:t>
      </w:r>
      <w:hyperlink r:id="rId13" w:history="1">
        <w:r w:rsidRPr="009113C1">
          <w:rPr>
            <w:rStyle w:val="Hyperlink"/>
            <w:rFonts w:eastAsia="MS Gothic"/>
            <w:sz w:val="22"/>
            <w:szCs w:val="22"/>
          </w:rPr>
          <w:t>P. Schwartz</w:t>
        </w:r>
      </w:hyperlink>
      <w:r w:rsidRPr="009113C1">
        <w:rPr>
          <w:sz w:val="22"/>
          <w:szCs w:val="22"/>
        </w:rPr>
        <w:t>. "</w:t>
      </w:r>
      <w:hyperlink r:id="rId14" w:history="1">
        <w:r w:rsidRPr="009113C1">
          <w:rPr>
            <w:rStyle w:val="Hyperlink"/>
            <w:rFonts w:eastAsia="MS Gothic"/>
            <w:i/>
            <w:iCs/>
            <w:sz w:val="22"/>
            <w:szCs w:val="22"/>
          </w:rPr>
          <w:t>The Advantage of Highly Controlled Lighting for Offices and Commercial Buildings</w:t>
        </w:r>
      </w:hyperlink>
      <w:r w:rsidRPr="009113C1">
        <w:rPr>
          <w:sz w:val="22"/>
          <w:szCs w:val="22"/>
        </w:rPr>
        <w:t xml:space="preserve">." In </w:t>
      </w:r>
      <w:r w:rsidRPr="009113C1">
        <w:rPr>
          <w:i/>
          <w:iCs/>
          <w:sz w:val="22"/>
          <w:szCs w:val="22"/>
        </w:rPr>
        <w:t>2008 ACEEE Summer Study on Energy Efficiency in Buildings</w:t>
      </w:r>
      <w:r>
        <w:rPr>
          <w:sz w:val="22"/>
          <w:szCs w:val="22"/>
        </w:rPr>
        <w:t xml:space="preserve">, 063901(1-5). </w:t>
      </w:r>
      <w:proofErr w:type="gramStart"/>
      <w:r>
        <w:rPr>
          <w:sz w:val="22"/>
          <w:szCs w:val="22"/>
        </w:rPr>
        <w:t>Vol. 78</w:t>
      </w:r>
      <w:r w:rsidRPr="009113C1">
        <w:rPr>
          <w:sz w:val="22"/>
          <w:szCs w:val="22"/>
        </w:rPr>
        <w:t>, 2008.</w:t>
      </w:r>
      <w:proofErr w:type="gramEnd"/>
      <w:r w:rsidRPr="009113C1">
        <w:rPr>
          <w:sz w:val="22"/>
          <w:szCs w:val="22"/>
        </w:rPr>
        <w:t> Download: </w:t>
      </w:r>
      <w:hyperlink r:id="rId15" w:history="1">
        <w:r w:rsidRPr="009113C1">
          <w:rPr>
            <w:rStyle w:val="Hyperlink"/>
            <w:rFonts w:eastAsia="MS Gothic"/>
            <w:sz w:val="22"/>
            <w:szCs w:val="22"/>
          </w:rPr>
          <w:t>PDF</w:t>
        </w:r>
      </w:hyperlink>
      <w:r w:rsidRPr="009113C1">
        <w:rPr>
          <w:sz w:val="22"/>
          <w:szCs w:val="22"/>
        </w:rPr>
        <w:t> (948.21 KB)</w:t>
      </w:r>
    </w:p>
    <w:p w14:paraId="2CEFBC00" w14:textId="77777777" w:rsidR="004377BE" w:rsidRPr="009113C1" w:rsidRDefault="004377BE" w:rsidP="004377BE">
      <w:pPr>
        <w:spacing w:after="120"/>
        <w:rPr>
          <w:sz w:val="22"/>
          <w:szCs w:val="22"/>
        </w:rPr>
      </w:pPr>
      <w:hyperlink r:id="rId16" w:history="1">
        <w:r w:rsidRPr="009113C1">
          <w:rPr>
            <w:rStyle w:val="Hyperlink"/>
            <w:rFonts w:eastAsia="MS Gothic"/>
            <w:sz w:val="22"/>
            <w:szCs w:val="22"/>
          </w:rPr>
          <w:t>Rubinstein, Francis M.</w:t>
        </w:r>
      </w:hyperlink>
      <w:r w:rsidRPr="009113C1">
        <w:rPr>
          <w:sz w:val="22"/>
          <w:szCs w:val="22"/>
        </w:rPr>
        <w:t xml:space="preserve">, </w:t>
      </w:r>
      <w:hyperlink r:id="rId17" w:history="1">
        <w:proofErr w:type="spellStart"/>
        <w:r w:rsidRPr="009113C1">
          <w:rPr>
            <w:rStyle w:val="Hyperlink"/>
            <w:rFonts w:eastAsia="MS Gothic"/>
            <w:sz w:val="22"/>
            <w:szCs w:val="22"/>
          </w:rPr>
          <w:t>Dmitriy</w:t>
        </w:r>
        <w:proofErr w:type="spellEnd"/>
        <w:r w:rsidRPr="009113C1">
          <w:rPr>
            <w:rStyle w:val="Hyperlink"/>
            <w:rFonts w:eastAsia="MS Gothic"/>
            <w:sz w:val="22"/>
            <w:szCs w:val="22"/>
          </w:rPr>
          <w:t xml:space="preserve"> </w:t>
        </w:r>
        <w:proofErr w:type="spellStart"/>
        <w:r w:rsidRPr="009113C1">
          <w:rPr>
            <w:rStyle w:val="Hyperlink"/>
            <w:rFonts w:eastAsia="MS Gothic"/>
            <w:sz w:val="22"/>
            <w:szCs w:val="22"/>
          </w:rPr>
          <w:t>Bolotov</w:t>
        </w:r>
        <w:proofErr w:type="spellEnd"/>
      </w:hyperlink>
      <w:r w:rsidRPr="009113C1">
        <w:rPr>
          <w:sz w:val="22"/>
          <w:szCs w:val="22"/>
        </w:rPr>
        <w:t xml:space="preserve">, </w:t>
      </w:r>
      <w:hyperlink r:id="rId18" w:history="1">
        <w:r w:rsidRPr="009113C1">
          <w:rPr>
            <w:rStyle w:val="Hyperlink"/>
            <w:rFonts w:eastAsia="MS Gothic"/>
            <w:sz w:val="22"/>
            <w:szCs w:val="22"/>
          </w:rPr>
          <w:t>Mark S. Levi</w:t>
        </w:r>
      </w:hyperlink>
      <w:r w:rsidRPr="009113C1">
        <w:rPr>
          <w:sz w:val="22"/>
          <w:szCs w:val="22"/>
        </w:rPr>
        <w:t xml:space="preserve">, </w:t>
      </w:r>
      <w:hyperlink r:id="rId19" w:history="1">
        <w:r w:rsidRPr="009113C1">
          <w:rPr>
            <w:rStyle w:val="Hyperlink"/>
            <w:rFonts w:eastAsia="MS Gothic"/>
            <w:sz w:val="22"/>
            <w:szCs w:val="22"/>
          </w:rPr>
          <w:t>Kevin Powell</w:t>
        </w:r>
      </w:hyperlink>
      <w:r w:rsidRPr="009113C1">
        <w:rPr>
          <w:sz w:val="22"/>
          <w:szCs w:val="22"/>
        </w:rPr>
        <w:t xml:space="preserve">, and </w:t>
      </w:r>
      <w:hyperlink r:id="rId20" w:history="1">
        <w:r w:rsidRPr="009113C1">
          <w:rPr>
            <w:rStyle w:val="Hyperlink"/>
            <w:rFonts w:eastAsia="MS Gothic"/>
            <w:sz w:val="22"/>
            <w:szCs w:val="22"/>
          </w:rPr>
          <w:t>Peter Schwartz</w:t>
        </w:r>
      </w:hyperlink>
      <w:r w:rsidRPr="009113C1">
        <w:rPr>
          <w:sz w:val="22"/>
          <w:szCs w:val="22"/>
        </w:rPr>
        <w:t>. "</w:t>
      </w:r>
      <w:hyperlink r:id="rId21" w:history="1">
        <w:r w:rsidRPr="009113C1">
          <w:rPr>
            <w:rStyle w:val="Hyperlink"/>
            <w:rFonts w:eastAsia="MS Gothic"/>
            <w:i/>
            <w:iCs/>
            <w:sz w:val="22"/>
            <w:szCs w:val="22"/>
          </w:rPr>
          <w:t>The Advantages of Highly Controlled Lighting for Offices and Commercial Buildings</w:t>
        </w:r>
      </w:hyperlink>
      <w:r w:rsidRPr="009113C1">
        <w:rPr>
          <w:sz w:val="22"/>
          <w:szCs w:val="22"/>
        </w:rPr>
        <w:t xml:space="preserve">." In </w:t>
      </w:r>
      <w:r w:rsidRPr="009113C1">
        <w:rPr>
          <w:i/>
          <w:iCs/>
          <w:sz w:val="22"/>
          <w:szCs w:val="22"/>
        </w:rPr>
        <w:t>2008 ACEEE Summer Study on Energy Efficiency in Buildings</w:t>
      </w:r>
      <w:r w:rsidRPr="009113C1">
        <w:rPr>
          <w:sz w:val="22"/>
          <w:szCs w:val="22"/>
        </w:rPr>
        <w:t>. Pacific Grove, CA, 2008. Download: </w:t>
      </w:r>
      <w:hyperlink r:id="rId22" w:history="1">
        <w:r w:rsidRPr="009113C1">
          <w:rPr>
            <w:rStyle w:val="Hyperlink"/>
            <w:rFonts w:eastAsia="MS Gothic"/>
            <w:sz w:val="22"/>
            <w:szCs w:val="22"/>
          </w:rPr>
          <w:t>PDF</w:t>
        </w:r>
      </w:hyperlink>
      <w:r w:rsidRPr="009113C1">
        <w:rPr>
          <w:sz w:val="22"/>
          <w:szCs w:val="22"/>
        </w:rPr>
        <w:t> (821.59 KB)</w:t>
      </w:r>
    </w:p>
    <w:p w14:paraId="040C240B" w14:textId="77777777" w:rsidR="004377BE" w:rsidRPr="009113C1" w:rsidRDefault="004377BE" w:rsidP="004377BE">
      <w:pPr>
        <w:spacing w:after="120"/>
        <w:rPr>
          <w:bCs/>
          <w:iCs/>
          <w:sz w:val="22"/>
          <w:szCs w:val="22"/>
        </w:rPr>
      </w:pPr>
      <w:r w:rsidRPr="009113C1">
        <w:rPr>
          <w:sz w:val="22"/>
          <w:szCs w:val="22"/>
        </w:rPr>
        <w:t xml:space="preserve">Schwartz, Peter M., </w:t>
      </w:r>
      <w:r w:rsidRPr="009113C1">
        <w:rPr>
          <w:i/>
          <w:sz w:val="22"/>
          <w:szCs w:val="22"/>
        </w:rPr>
        <w:t>“Are you ready for changing 21</w:t>
      </w:r>
      <w:r w:rsidRPr="009113C1">
        <w:rPr>
          <w:i/>
          <w:sz w:val="22"/>
          <w:szCs w:val="22"/>
          <w:vertAlign w:val="superscript"/>
        </w:rPr>
        <w:t>st</w:t>
      </w:r>
      <w:r w:rsidRPr="009113C1">
        <w:rPr>
          <w:i/>
          <w:sz w:val="22"/>
          <w:szCs w:val="22"/>
        </w:rPr>
        <w:t xml:space="preserve"> Century energy markets?” </w:t>
      </w:r>
      <w:proofErr w:type="gramStart"/>
      <w:r w:rsidRPr="009113C1">
        <w:rPr>
          <w:sz w:val="22"/>
          <w:szCs w:val="22"/>
        </w:rPr>
        <w:t>In AutomatedBuildings.com, 2007.</w:t>
      </w:r>
      <w:proofErr w:type="gramEnd"/>
    </w:p>
    <w:p w14:paraId="60CF7DE1" w14:textId="77777777" w:rsidR="004377BE" w:rsidRPr="009113C1" w:rsidRDefault="004377BE" w:rsidP="004377BE">
      <w:pPr>
        <w:spacing w:after="120"/>
        <w:rPr>
          <w:sz w:val="22"/>
          <w:szCs w:val="22"/>
        </w:rPr>
      </w:pPr>
      <w:r w:rsidRPr="009113C1">
        <w:rPr>
          <w:bCs/>
          <w:iCs/>
          <w:sz w:val="22"/>
          <w:szCs w:val="22"/>
        </w:rPr>
        <w:t>Schwartz, Peter M.,</w:t>
      </w:r>
      <w:r w:rsidRPr="009113C1">
        <w:rPr>
          <w:sz w:val="22"/>
          <w:szCs w:val="22"/>
        </w:rPr>
        <w:t xml:space="preserve"> </w:t>
      </w:r>
      <w:r w:rsidRPr="009113C1">
        <w:rPr>
          <w:i/>
          <w:sz w:val="22"/>
          <w:szCs w:val="22"/>
        </w:rPr>
        <w:t>“Right</w:t>
      </w:r>
      <w:r w:rsidRPr="009113C1">
        <w:rPr>
          <w:sz w:val="22"/>
          <w:szCs w:val="22"/>
        </w:rPr>
        <w:t xml:space="preserve"> </w:t>
      </w:r>
      <w:r w:rsidRPr="009113C1">
        <w:rPr>
          <w:i/>
          <w:sz w:val="22"/>
          <w:szCs w:val="22"/>
        </w:rPr>
        <w:t xml:space="preserve">Light Paper 150: California Market and Electricity End-Use Data for Use in Guiding Demand-Side Management (DSM) and Demand-Response (DR) Programs.” In Right Light 6: </w:t>
      </w:r>
      <w:r w:rsidRPr="009113C1">
        <w:rPr>
          <w:bCs/>
          <w:i/>
          <w:sz w:val="22"/>
          <w:szCs w:val="22"/>
        </w:rPr>
        <w:t>The 6th International Conference on Energy-Efficient Lighting</w:t>
      </w:r>
      <w:r w:rsidRPr="009113C1">
        <w:rPr>
          <w:i/>
          <w:sz w:val="22"/>
          <w:szCs w:val="22"/>
        </w:rPr>
        <w:t>.</w:t>
      </w:r>
      <w:r w:rsidRPr="009113C1">
        <w:rPr>
          <w:sz w:val="22"/>
          <w:szCs w:val="22"/>
        </w:rPr>
        <w:t xml:space="preserve"> Shanghai, China, 2005.</w:t>
      </w:r>
    </w:p>
    <w:p w14:paraId="131D104F" w14:textId="77777777" w:rsidR="004377BE" w:rsidRPr="009113C1" w:rsidRDefault="004377BE" w:rsidP="004377BE">
      <w:pPr>
        <w:spacing w:after="120"/>
        <w:rPr>
          <w:bCs/>
          <w:iCs/>
          <w:sz w:val="22"/>
          <w:szCs w:val="22"/>
        </w:rPr>
      </w:pPr>
      <w:r w:rsidRPr="009113C1">
        <w:rPr>
          <w:sz w:val="22"/>
          <w:szCs w:val="22"/>
        </w:rPr>
        <w:t>Schwartz, Peter M., “</w:t>
      </w:r>
      <w:r w:rsidRPr="009113C1">
        <w:rPr>
          <w:bCs/>
          <w:i/>
          <w:iCs/>
          <w:sz w:val="22"/>
          <w:szCs w:val="22"/>
        </w:rPr>
        <w:t>Comprehensive Lighting Program Briefing Paper”,</w:t>
      </w:r>
      <w:r w:rsidRPr="009113C1">
        <w:rPr>
          <w:bCs/>
          <w:iCs/>
          <w:sz w:val="22"/>
          <w:szCs w:val="22"/>
        </w:rPr>
        <w:t xml:space="preserve"> U.S. DOE, EERE, FEMP Technology Transfer Initiative, 2004</w:t>
      </w:r>
      <w:r>
        <w:rPr>
          <w:bCs/>
          <w:iCs/>
          <w:sz w:val="22"/>
          <w:szCs w:val="22"/>
        </w:rPr>
        <w:t>.</w:t>
      </w:r>
    </w:p>
    <w:p w14:paraId="0054DBD3" w14:textId="62826689" w:rsidR="00A02AA0" w:rsidRPr="00C14966" w:rsidRDefault="004377BE" w:rsidP="004377BE">
      <w:pPr>
        <w:spacing w:after="120"/>
        <w:rPr>
          <w:sz w:val="22"/>
          <w:szCs w:val="22"/>
        </w:rPr>
      </w:pPr>
      <w:r w:rsidRPr="009113C1">
        <w:rPr>
          <w:sz w:val="22"/>
          <w:szCs w:val="22"/>
        </w:rPr>
        <w:t xml:space="preserve">Schwartz, Peter M., </w:t>
      </w:r>
      <w:r w:rsidRPr="009113C1">
        <w:rPr>
          <w:i/>
          <w:sz w:val="22"/>
          <w:szCs w:val="22"/>
        </w:rPr>
        <w:t>“CEC PIER Buildings Program:  Demand Response Briefing Paper: Assessing Opportunit</w:t>
      </w:r>
      <w:r>
        <w:rPr>
          <w:i/>
          <w:sz w:val="22"/>
          <w:szCs w:val="22"/>
        </w:rPr>
        <w:t>ies for New Research Activities</w:t>
      </w:r>
      <w:r w:rsidRPr="009113C1">
        <w:rPr>
          <w:i/>
          <w:sz w:val="22"/>
          <w:szCs w:val="22"/>
        </w:rPr>
        <w:t>”</w:t>
      </w:r>
      <w:r w:rsidRPr="009113C1">
        <w:rPr>
          <w:sz w:val="22"/>
          <w:szCs w:val="22"/>
        </w:rPr>
        <w:t>, California Energy Commission, PIER Program, 2003</w:t>
      </w:r>
      <w:r>
        <w:rPr>
          <w:sz w:val="22"/>
          <w:szCs w:val="22"/>
        </w:rPr>
        <w:t>.</w:t>
      </w:r>
    </w:p>
    <w:sectPr w:rsidR="00A02AA0" w:rsidRPr="00C14966" w:rsidSect="004F6089">
      <w:footerReference w:type="even" r:id="rId23"/>
      <w:footerReference w:type="first" r:id="rId24"/>
      <w:pgSz w:w="12240" w:h="15840"/>
      <w:pgMar w:top="1080" w:right="1800" w:bottom="108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864AF" w14:textId="77777777" w:rsidR="00F571AD" w:rsidRDefault="00F571AD" w:rsidP="009B3BD1">
      <w:r>
        <w:separator/>
      </w:r>
    </w:p>
  </w:endnote>
  <w:endnote w:type="continuationSeparator" w:id="0">
    <w:p w14:paraId="5A01AC51" w14:textId="77777777" w:rsidR="00F571AD" w:rsidRDefault="00F571AD" w:rsidP="009B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98C37" w14:textId="77777777" w:rsidR="00F571AD" w:rsidRDefault="00F571AD" w:rsidP="00F556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E4F8EA" w14:textId="77777777" w:rsidR="00F571AD" w:rsidRDefault="00F571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2D276" w14:textId="32B0B149" w:rsidR="00F571AD" w:rsidRPr="00435B08" w:rsidRDefault="00F571AD" w:rsidP="003869A0">
    <w:pPr>
      <w:pStyle w:val="Footer"/>
      <w:spacing w:before="120"/>
      <w:rPr>
        <w:rFonts w:ascii="Calibri" w:hAnsi="Calibri" w:cs="Tahoma"/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917E2" w14:textId="77777777" w:rsidR="00F571AD" w:rsidRDefault="00F571AD" w:rsidP="009B3BD1">
      <w:r>
        <w:separator/>
      </w:r>
    </w:p>
  </w:footnote>
  <w:footnote w:type="continuationSeparator" w:id="0">
    <w:p w14:paraId="2CBAB653" w14:textId="77777777" w:rsidR="00F571AD" w:rsidRDefault="00F571AD" w:rsidP="009B3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962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343001"/>
    <w:multiLevelType w:val="hybridMultilevel"/>
    <w:tmpl w:val="828EE1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B194312"/>
    <w:multiLevelType w:val="hybridMultilevel"/>
    <w:tmpl w:val="829A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F2875"/>
    <w:multiLevelType w:val="multilevel"/>
    <w:tmpl w:val="828EE142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7B92A05"/>
    <w:multiLevelType w:val="hybridMultilevel"/>
    <w:tmpl w:val="746CCDF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5B477AC3"/>
    <w:multiLevelType w:val="hybridMultilevel"/>
    <w:tmpl w:val="DE724564"/>
    <w:lvl w:ilvl="0" w:tplc="0409000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Symbol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Symbol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1A"/>
    <w:rsid w:val="000161FC"/>
    <w:rsid w:val="00020646"/>
    <w:rsid w:val="000259AF"/>
    <w:rsid w:val="00027CDE"/>
    <w:rsid w:val="00027D88"/>
    <w:rsid w:val="00027E12"/>
    <w:rsid w:val="000307AA"/>
    <w:rsid w:val="0004491B"/>
    <w:rsid w:val="00062953"/>
    <w:rsid w:val="000669C4"/>
    <w:rsid w:val="000703C5"/>
    <w:rsid w:val="000830A4"/>
    <w:rsid w:val="0008781B"/>
    <w:rsid w:val="00097178"/>
    <w:rsid w:val="000B1979"/>
    <w:rsid w:val="000B1B99"/>
    <w:rsid w:val="000C04B7"/>
    <w:rsid w:val="000C3F37"/>
    <w:rsid w:val="000D0838"/>
    <w:rsid w:val="000D74C5"/>
    <w:rsid w:val="000E0D1A"/>
    <w:rsid w:val="000E3FD5"/>
    <w:rsid w:val="000F579C"/>
    <w:rsid w:val="001000E3"/>
    <w:rsid w:val="00106E05"/>
    <w:rsid w:val="00113D82"/>
    <w:rsid w:val="00132617"/>
    <w:rsid w:val="00133796"/>
    <w:rsid w:val="00143480"/>
    <w:rsid w:val="00155D09"/>
    <w:rsid w:val="0016209D"/>
    <w:rsid w:val="0016549B"/>
    <w:rsid w:val="00197C5E"/>
    <w:rsid w:val="001A0606"/>
    <w:rsid w:val="001A19C1"/>
    <w:rsid w:val="001A5D83"/>
    <w:rsid w:val="001A65BB"/>
    <w:rsid w:val="001A6F45"/>
    <w:rsid w:val="001B4569"/>
    <w:rsid w:val="001B62CD"/>
    <w:rsid w:val="001B7126"/>
    <w:rsid w:val="001C09A8"/>
    <w:rsid w:val="001C283B"/>
    <w:rsid w:val="001D15E3"/>
    <w:rsid w:val="001F22BF"/>
    <w:rsid w:val="00204A7B"/>
    <w:rsid w:val="00225CBB"/>
    <w:rsid w:val="00237961"/>
    <w:rsid w:val="00252C4B"/>
    <w:rsid w:val="00282601"/>
    <w:rsid w:val="00291BD7"/>
    <w:rsid w:val="002952C0"/>
    <w:rsid w:val="002A0221"/>
    <w:rsid w:val="002A368A"/>
    <w:rsid w:val="002C1EA8"/>
    <w:rsid w:val="002C2C7E"/>
    <w:rsid w:val="002D37C0"/>
    <w:rsid w:val="002E2BDD"/>
    <w:rsid w:val="002E3A33"/>
    <w:rsid w:val="002F0D44"/>
    <w:rsid w:val="003032E7"/>
    <w:rsid w:val="0031538F"/>
    <w:rsid w:val="00315397"/>
    <w:rsid w:val="003156FC"/>
    <w:rsid w:val="00320628"/>
    <w:rsid w:val="0033005E"/>
    <w:rsid w:val="00331D48"/>
    <w:rsid w:val="00332749"/>
    <w:rsid w:val="00341935"/>
    <w:rsid w:val="00351E00"/>
    <w:rsid w:val="00357DC9"/>
    <w:rsid w:val="00367360"/>
    <w:rsid w:val="00372B66"/>
    <w:rsid w:val="00373864"/>
    <w:rsid w:val="00383FD9"/>
    <w:rsid w:val="003869A0"/>
    <w:rsid w:val="00392A31"/>
    <w:rsid w:val="00395C6C"/>
    <w:rsid w:val="003A5162"/>
    <w:rsid w:val="003A5E55"/>
    <w:rsid w:val="003C54A2"/>
    <w:rsid w:val="003D67B1"/>
    <w:rsid w:val="003E443E"/>
    <w:rsid w:val="003E51CF"/>
    <w:rsid w:val="003E7572"/>
    <w:rsid w:val="00400B96"/>
    <w:rsid w:val="00414258"/>
    <w:rsid w:val="004145DC"/>
    <w:rsid w:val="00417E2C"/>
    <w:rsid w:val="00420197"/>
    <w:rsid w:val="004270C5"/>
    <w:rsid w:val="00427D59"/>
    <w:rsid w:val="00435B08"/>
    <w:rsid w:val="004377BE"/>
    <w:rsid w:val="00441EB2"/>
    <w:rsid w:val="00464C72"/>
    <w:rsid w:val="00471173"/>
    <w:rsid w:val="0047433C"/>
    <w:rsid w:val="00476665"/>
    <w:rsid w:val="004806BB"/>
    <w:rsid w:val="00484725"/>
    <w:rsid w:val="004931BD"/>
    <w:rsid w:val="004A667D"/>
    <w:rsid w:val="004B14A0"/>
    <w:rsid w:val="004C0F0E"/>
    <w:rsid w:val="004C617B"/>
    <w:rsid w:val="004C73F9"/>
    <w:rsid w:val="004D38AC"/>
    <w:rsid w:val="004E51CD"/>
    <w:rsid w:val="004E782E"/>
    <w:rsid w:val="004F6089"/>
    <w:rsid w:val="0055295C"/>
    <w:rsid w:val="00571ACC"/>
    <w:rsid w:val="00575D9A"/>
    <w:rsid w:val="005A555D"/>
    <w:rsid w:val="005C3006"/>
    <w:rsid w:val="005D6F1D"/>
    <w:rsid w:val="005E5BB9"/>
    <w:rsid w:val="005F1D3E"/>
    <w:rsid w:val="005F3BF4"/>
    <w:rsid w:val="00602AC3"/>
    <w:rsid w:val="00620990"/>
    <w:rsid w:val="00633733"/>
    <w:rsid w:val="00644C1B"/>
    <w:rsid w:val="00645E99"/>
    <w:rsid w:val="00646719"/>
    <w:rsid w:val="0067084D"/>
    <w:rsid w:val="00681494"/>
    <w:rsid w:val="0068792C"/>
    <w:rsid w:val="006A020B"/>
    <w:rsid w:val="006A0C29"/>
    <w:rsid w:val="006A7438"/>
    <w:rsid w:val="006B0D75"/>
    <w:rsid w:val="006C4466"/>
    <w:rsid w:val="006D5A24"/>
    <w:rsid w:val="006D79DA"/>
    <w:rsid w:val="006E1BE5"/>
    <w:rsid w:val="006E7B36"/>
    <w:rsid w:val="006F71DC"/>
    <w:rsid w:val="007030CD"/>
    <w:rsid w:val="00712131"/>
    <w:rsid w:val="00720956"/>
    <w:rsid w:val="007363E2"/>
    <w:rsid w:val="00737536"/>
    <w:rsid w:val="007722EB"/>
    <w:rsid w:val="00791790"/>
    <w:rsid w:val="007A55FF"/>
    <w:rsid w:val="007A7992"/>
    <w:rsid w:val="007C38D9"/>
    <w:rsid w:val="007E0BE0"/>
    <w:rsid w:val="007E146D"/>
    <w:rsid w:val="007E6290"/>
    <w:rsid w:val="008021F5"/>
    <w:rsid w:val="00822F77"/>
    <w:rsid w:val="00834626"/>
    <w:rsid w:val="00837E58"/>
    <w:rsid w:val="00846616"/>
    <w:rsid w:val="00852DCD"/>
    <w:rsid w:val="00860A07"/>
    <w:rsid w:val="008626C2"/>
    <w:rsid w:val="008640BB"/>
    <w:rsid w:val="008727D8"/>
    <w:rsid w:val="008844A3"/>
    <w:rsid w:val="008850D2"/>
    <w:rsid w:val="00890759"/>
    <w:rsid w:val="00897CDE"/>
    <w:rsid w:val="008A3341"/>
    <w:rsid w:val="008B4C2B"/>
    <w:rsid w:val="008D47FA"/>
    <w:rsid w:val="008D73D4"/>
    <w:rsid w:val="008E78FB"/>
    <w:rsid w:val="008F5FAC"/>
    <w:rsid w:val="00902385"/>
    <w:rsid w:val="009054A2"/>
    <w:rsid w:val="009432E9"/>
    <w:rsid w:val="00945394"/>
    <w:rsid w:val="0095703D"/>
    <w:rsid w:val="0097045C"/>
    <w:rsid w:val="00971EB9"/>
    <w:rsid w:val="00994900"/>
    <w:rsid w:val="00995E43"/>
    <w:rsid w:val="009A2008"/>
    <w:rsid w:val="009B3BD1"/>
    <w:rsid w:val="009D43E9"/>
    <w:rsid w:val="009D4645"/>
    <w:rsid w:val="009E6D2A"/>
    <w:rsid w:val="00A02AA0"/>
    <w:rsid w:val="00A279FF"/>
    <w:rsid w:val="00A33378"/>
    <w:rsid w:val="00A37E30"/>
    <w:rsid w:val="00A4509F"/>
    <w:rsid w:val="00A542AF"/>
    <w:rsid w:val="00A616DC"/>
    <w:rsid w:val="00A8403B"/>
    <w:rsid w:val="00A947D6"/>
    <w:rsid w:val="00A94B11"/>
    <w:rsid w:val="00AC7B8A"/>
    <w:rsid w:val="00AD123E"/>
    <w:rsid w:val="00AD6BCC"/>
    <w:rsid w:val="00AD7F31"/>
    <w:rsid w:val="00AE5DFE"/>
    <w:rsid w:val="00AE75D5"/>
    <w:rsid w:val="00AF140D"/>
    <w:rsid w:val="00B044DA"/>
    <w:rsid w:val="00B12FDB"/>
    <w:rsid w:val="00B142E7"/>
    <w:rsid w:val="00B24708"/>
    <w:rsid w:val="00B349E1"/>
    <w:rsid w:val="00B76EAA"/>
    <w:rsid w:val="00B819D2"/>
    <w:rsid w:val="00B83A7E"/>
    <w:rsid w:val="00B90668"/>
    <w:rsid w:val="00B90A38"/>
    <w:rsid w:val="00B94848"/>
    <w:rsid w:val="00BA3083"/>
    <w:rsid w:val="00BC1372"/>
    <w:rsid w:val="00BE2AFD"/>
    <w:rsid w:val="00BF63E1"/>
    <w:rsid w:val="00C14966"/>
    <w:rsid w:val="00C2145A"/>
    <w:rsid w:val="00C22EF9"/>
    <w:rsid w:val="00C37B8B"/>
    <w:rsid w:val="00C427A3"/>
    <w:rsid w:val="00C47125"/>
    <w:rsid w:val="00C55329"/>
    <w:rsid w:val="00C57CFE"/>
    <w:rsid w:val="00C62F19"/>
    <w:rsid w:val="00C84741"/>
    <w:rsid w:val="00C933BE"/>
    <w:rsid w:val="00CA7650"/>
    <w:rsid w:val="00CB4B04"/>
    <w:rsid w:val="00CD375A"/>
    <w:rsid w:val="00CD5B65"/>
    <w:rsid w:val="00CE1770"/>
    <w:rsid w:val="00CE6BE8"/>
    <w:rsid w:val="00CF1255"/>
    <w:rsid w:val="00CF1DB9"/>
    <w:rsid w:val="00CF1DD3"/>
    <w:rsid w:val="00D036FD"/>
    <w:rsid w:val="00D2158E"/>
    <w:rsid w:val="00D27698"/>
    <w:rsid w:val="00D42EDC"/>
    <w:rsid w:val="00D45F72"/>
    <w:rsid w:val="00D75D2C"/>
    <w:rsid w:val="00D75ED4"/>
    <w:rsid w:val="00D77561"/>
    <w:rsid w:val="00D84050"/>
    <w:rsid w:val="00DA1DFE"/>
    <w:rsid w:val="00DC7683"/>
    <w:rsid w:val="00DD2743"/>
    <w:rsid w:val="00DE196B"/>
    <w:rsid w:val="00DE4E57"/>
    <w:rsid w:val="00DF2A97"/>
    <w:rsid w:val="00DF3811"/>
    <w:rsid w:val="00DF3D28"/>
    <w:rsid w:val="00DF4C50"/>
    <w:rsid w:val="00E218F8"/>
    <w:rsid w:val="00E30BA1"/>
    <w:rsid w:val="00E3738F"/>
    <w:rsid w:val="00E4740C"/>
    <w:rsid w:val="00E5050D"/>
    <w:rsid w:val="00E53FCB"/>
    <w:rsid w:val="00E62300"/>
    <w:rsid w:val="00E63979"/>
    <w:rsid w:val="00E84CDD"/>
    <w:rsid w:val="00E95264"/>
    <w:rsid w:val="00E96EB2"/>
    <w:rsid w:val="00EB7F29"/>
    <w:rsid w:val="00EC0E0F"/>
    <w:rsid w:val="00ED6476"/>
    <w:rsid w:val="00EE4CFA"/>
    <w:rsid w:val="00EF1BA4"/>
    <w:rsid w:val="00EF1BF4"/>
    <w:rsid w:val="00F06EE9"/>
    <w:rsid w:val="00F2240E"/>
    <w:rsid w:val="00F241B5"/>
    <w:rsid w:val="00F37B5A"/>
    <w:rsid w:val="00F503F1"/>
    <w:rsid w:val="00F5560B"/>
    <w:rsid w:val="00F571AD"/>
    <w:rsid w:val="00F75348"/>
    <w:rsid w:val="00F84595"/>
    <w:rsid w:val="00F9612A"/>
    <w:rsid w:val="00FA0020"/>
    <w:rsid w:val="00FA74EA"/>
    <w:rsid w:val="00FB0CC4"/>
    <w:rsid w:val="00FB3B20"/>
    <w:rsid w:val="00FB5058"/>
    <w:rsid w:val="00FB74C4"/>
    <w:rsid w:val="00FC7C0F"/>
    <w:rsid w:val="00FE0EDB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5EF34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7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177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00E3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1770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E1770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E177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770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link w:val="Subtitle"/>
    <w:uiPriority w:val="11"/>
    <w:rsid w:val="00CE1770"/>
    <w:rPr>
      <w:rFonts w:ascii="Calibri" w:eastAsia="MS Gothic" w:hAnsi="Calibri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CE1770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000E3"/>
    <w:rPr>
      <w:rFonts w:ascii="Calibri" w:eastAsia="MS Gothic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B3B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D1"/>
  </w:style>
  <w:style w:type="paragraph" w:styleId="Footer">
    <w:name w:val="footer"/>
    <w:basedOn w:val="Normal"/>
    <w:link w:val="FooterChar"/>
    <w:uiPriority w:val="99"/>
    <w:unhideWhenUsed/>
    <w:rsid w:val="009B3B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D1"/>
  </w:style>
  <w:style w:type="character" w:styleId="PageNumber">
    <w:name w:val="page number"/>
    <w:uiPriority w:val="99"/>
    <w:semiHidden/>
    <w:unhideWhenUsed/>
    <w:rsid w:val="009B3BD1"/>
  </w:style>
  <w:style w:type="paragraph" w:customStyle="1" w:styleId="nbisectiontitle">
    <w:name w:val="nbisectiontitle"/>
    <w:basedOn w:val="Normal"/>
    <w:next w:val="NormalIndent"/>
    <w:rsid w:val="0067084D"/>
    <w:pPr>
      <w:keepNext/>
      <w:spacing w:before="360"/>
    </w:pPr>
    <w:rPr>
      <w:b/>
      <w:sz w:val="28"/>
    </w:rPr>
  </w:style>
  <w:style w:type="paragraph" w:styleId="NormalIndent">
    <w:name w:val="Normal Indent"/>
    <w:basedOn w:val="Normal"/>
    <w:uiPriority w:val="99"/>
    <w:semiHidden/>
    <w:unhideWhenUsed/>
    <w:rsid w:val="006708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9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0259AF"/>
  </w:style>
  <w:style w:type="character" w:styleId="Hyperlink">
    <w:name w:val="Hyperlink"/>
    <w:uiPriority w:val="99"/>
    <w:unhideWhenUsed/>
    <w:rsid w:val="00435B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B08"/>
    <w:pPr>
      <w:ind w:left="720"/>
      <w:contextualSpacing/>
    </w:pPr>
    <w:rPr>
      <w:rFonts w:ascii="Cambria" w:eastAsia="ＭＳ 明朝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70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177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00E3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1770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E1770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E177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770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link w:val="Subtitle"/>
    <w:uiPriority w:val="11"/>
    <w:rsid w:val="00CE1770"/>
    <w:rPr>
      <w:rFonts w:ascii="Calibri" w:eastAsia="MS Gothic" w:hAnsi="Calibri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CE1770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000E3"/>
    <w:rPr>
      <w:rFonts w:ascii="Calibri" w:eastAsia="MS Gothic" w:hAnsi="Calibr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B3B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BD1"/>
  </w:style>
  <w:style w:type="paragraph" w:styleId="Footer">
    <w:name w:val="footer"/>
    <w:basedOn w:val="Normal"/>
    <w:link w:val="FooterChar"/>
    <w:uiPriority w:val="99"/>
    <w:unhideWhenUsed/>
    <w:rsid w:val="009B3B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D1"/>
  </w:style>
  <w:style w:type="character" w:styleId="PageNumber">
    <w:name w:val="page number"/>
    <w:uiPriority w:val="99"/>
    <w:semiHidden/>
    <w:unhideWhenUsed/>
    <w:rsid w:val="009B3BD1"/>
  </w:style>
  <w:style w:type="paragraph" w:customStyle="1" w:styleId="nbisectiontitle">
    <w:name w:val="nbisectiontitle"/>
    <w:basedOn w:val="Normal"/>
    <w:next w:val="NormalIndent"/>
    <w:rsid w:val="0067084D"/>
    <w:pPr>
      <w:keepNext/>
      <w:spacing w:before="360"/>
    </w:pPr>
    <w:rPr>
      <w:b/>
      <w:sz w:val="28"/>
    </w:rPr>
  </w:style>
  <w:style w:type="paragraph" w:styleId="NormalIndent">
    <w:name w:val="Normal Indent"/>
    <w:basedOn w:val="Normal"/>
    <w:uiPriority w:val="99"/>
    <w:semiHidden/>
    <w:unhideWhenUsed/>
    <w:rsid w:val="006708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9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0259AF"/>
  </w:style>
  <w:style w:type="character" w:styleId="Hyperlink">
    <w:name w:val="Hyperlink"/>
    <w:uiPriority w:val="99"/>
    <w:unhideWhenUsed/>
    <w:rsid w:val="00435B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B08"/>
    <w:pPr>
      <w:ind w:left="720"/>
      <w:contextualSpacing/>
    </w:pPr>
    <w:rPr>
      <w:rFonts w:ascii="Cambria" w:eastAsia="ＭＳ 明朝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etd.lbl.gov/publications/author/2086" TargetMode="External"/><Relationship Id="rId20" Type="http://schemas.openxmlformats.org/officeDocument/2006/relationships/hyperlink" Target="http://eetd.lbl.gov/publications/author/4039" TargetMode="External"/><Relationship Id="rId21" Type="http://schemas.openxmlformats.org/officeDocument/2006/relationships/hyperlink" Target="http://eetd.lbl.gov/publications/advantages-highly-controlled-lighting-offices-and-commercial-buildings" TargetMode="External"/><Relationship Id="rId22" Type="http://schemas.openxmlformats.org/officeDocument/2006/relationships/hyperlink" Target="http://eetd.lbl.gov/sites/all/files/lbnl-2514e.pdf" TargetMode="Externa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eetd.lbl.gov/publications/author/4036" TargetMode="External"/><Relationship Id="rId11" Type="http://schemas.openxmlformats.org/officeDocument/2006/relationships/hyperlink" Target="http://eetd.lbl.gov/publications/author/2099" TargetMode="External"/><Relationship Id="rId12" Type="http://schemas.openxmlformats.org/officeDocument/2006/relationships/hyperlink" Target="http://eetd.lbl.gov/publications/author/4038" TargetMode="External"/><Relationship Id="rId13" Type="http://schemas.openxmlformats.org/officeDocument/2006/relationships/hyperlink" Target="http://eetd.lbl.gov/publications/author/2101" TargetMode="External"/><Relationship Id="rId14" Type="http://schemas.openxmlformats.org/officeDocument/2006/relationships/hyperlink" Target="http://eetd.lbl.gov/publications/view/50476" TargetMode="External"/><Relationship Id="rId15" Type="http://schemas.openxmlformats.org/officeDocument/2006/relationships/hyperlink" Target="http://eetd.lbl.gov/sites/all/files/publications/lbnl-2514e.pdf" TargetMode="External"/><Relationship Id="rId16" Type="http://schemas.openxmlformats.org/officeDocument/2006/relationships/hyperlink" Target="http://eetd.lbl.gov/publications/author/2086" TargetMode="External"/><Relationship Id="rId17" Type="http://schemas.openxmlformats.org/officeDocument/2006/relationships/hyperlink" Target="http://eetd.lbl.gov/publications/author/4036" TargetMode="External"/><Relationship Id="rId18" Type="http://schemas.openxmlformats.org/officeDocument/2006/relationships/hyperlink" Target="http://eetd.lbl.gov/publications/author/2099" TargetMode="External"/><Relationship Id="rId19" Type="http://schemas.openxmlformats.org/officeDocument/2006/relationships/hyperlink" Target="http://eetd.lbl.gov/publications/author/4038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5622</Characters>
  <Application>Microsoft Macintosh Word</Application>
  <DocSecurity>0</DocSecurity>
  <Lines>216</Lines>
  <Paragraphs>181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Peter M. Schwartz</vt:lpstr>
      <vt:lpstr>    Biography and Résumé</vt:lpstr>
      <vt:lpstr>    December 2013</vt:lpstr>
      <vt:lpstr>    381 Chapman Drive</vt:lpstr>
      <vt:lpstr>    Corte Madera, CA 94925</vt:lpstr>
      <vt:lpstr>    (415) 846-4310</vt:lpstr>
      <vt:lpstr>    peter@pmschwartz.com</vt:lpstr>
      <vt:lpstr>Biography</vt:lpstr>
      <vt:lpstr>    Peter M. Schwartz</vt:lpstr>
      <vt:lpstr>    381 Chapman Drive</vt:lpstr>
      <vt:lpstr>    Corte Madera, CA 94925</vt:lpstr>
      <vt:lpstr>    (415) 846-4310</vt:lpstr>
      <vt:lpstr>    peter@pmschwartz.com</vt:lpstr>
      <vt:lpstr>Experience Highlights</vt:lpstr>
      <vt:lpstr>Peter M. Schwartz</vt:lpstr>
      <vt:lpstr>Summary of Employment</vt:lpstr>
      <vt:lpstr>Education</vt:lpstr>
      <vt:lpstr>Certifications</vt:lpstr>
      <vt:lpstr>Affiliations and Memberships</vt:lpstr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Schwartz</cp:lastModifiedBy>
  <cp:revision>2</cp:revision>
  <cp:lastPrinted>2014-04-17T20:47:00Z</cp:lastPrinted>
  <dcterms:created xsi:type="dcterms:W3CDTF">2018-05-21T06:25:00Z</dcterms:created>
  <dcterms:modified xsi:type="dcterms:W3CDTF">2018-05-21T06:25:00Z</dcterms:modified>
</cp:coreProperties>
</file>